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62B" w:rsidRDefault="00BA34D9" w:rsidP="00BA34D9">
      <w:pPr>
        <w:pStyle w:val="Titel"/>
      </w:pPr>
      <w:bookmarkStart w:id="0" w:name="_GoBack"/>
      <w:bookmarkEnd w:id="0"/>
      <w:r>
        <w:t>Erläuterungen zum Standardformular „</w:t>
      </w:r>
      <w:r w:rsidR="009B57E1">
        <w:t>vergebene Aufträge</w:t>
      </w:r>
      <w:r>
        <w:t xml:space="preserve">“, </w:t>
      </w:r>
    </w:p>
    <w:p w:rsidR="008809BF" w:rsidRDefault="00BA34D9" w:rsidP="00BA34D9">
      <w:pPr>
        <w:pStyle w:val="Titel"/>
      </w:pPr>
      <w:r>
        <w:t>Formular 41</w:t>
      </w:r>
      <w:r w:rsidR="009B57E1">
        <w:t>4</w:t>
      </w:r>
      <w:r>
        <w:t xml:space="preserve"> EU</w:t>
      </w:r>
    </w:p>
    <w:p w:rsidR="00BA34D9" w:rsidRDefault="00BA34D9" w:rsidP="008809BF">
      <w:pPr>
        <w:pStyle w:val="KeinLeerraum"/>
        <w:rPr>
          <w:b/>
        </w:rPr>
      </w:pPr>
    </w:p>
    <w:p w:rsidR="00A05460" w:rsidRDefault="00BA34D9" w:rsidP="00BA34D9">
      <w:pPr>
        <w:ind w:firstLine="0"/>
      </w:pPr>
      <w:r>
        <w:t>Das Formular 41</w:t>
      </w:r>
      <w:r w:rsidR="009B57E1">
        <w:t>4</w:t>
      </w:r>
      <w:r>
        <w:t xml:space="preserve"> EU ist für Liefer- und Dienstleistungsaufträge </w:t>
      </w:r>
      <w:r w:rsidR="009B57E1">
        <w:t xml:space="preserve">nach Zuschlagserteilung bzw. Aufhebung des Vergabeverfahrens </w:t>
      </w:r>
      <w:r w:rsidR="00A0162B">
        <w:t>als</w:t>
      </w:r>
      <w:r>
        <w:t xml:space="preserve"> </w:t>
      </w:r>
      <w:r w:rsidR="009B57E1">
        <w:t>Bekanntmachung</w:t>
      </w:r>
      <w:r>
        <w:t xml:space="preserve"> </w:t>
      </w:r>
      <w:r w:rsidR="00A0162B">
        <w:t xml:space="preserve">für </w:t>
      </w:r>
      <w:r w:rsidR="009B57E1">
        <w:t xml:space="preserve">alle Verfahren, auch dem Verhandlungsverfahren ohne Teilnahmewettbewerb </w:t>
      </w:r>
      <w:r>
        <w:t xml:space="preserve">zu verwenden. Für </w:t>
      </w:r>
      <w:r w:rsidR="00A0162B">
        <w:t xml:space="preserve">die </w:t>
      </w:r>
      <w:r w:rsidR="009B57E1">
        <w:t>Bekanntmachung über vergebene Aufträge</w:t>
      </w:r>
      <w:r>
        <w:t xml:space="preserve"> bei sozialen und anderen Dienstleistungen </w:t>
      </w:r>
      <w:r w:rsidR="00817429">
        <w:t>nach § 130 GWB ist da</w:t>
      </w:r>
      <w:r w:rsidR="00487791">
        <w:t>s Formular 417 EU zu verwenden.</w:t>
      </w:r>
    </w:p>
    <w:p w:rsidR="001F670F" w:rsidRDefault="00817429" w:rsidP="00BA34D9">
      <w:pPr>
        <w:ind w:firstLine="0"/>
      </w:pPr>
      <w:r>
        <w:t xml:space="preserve">Bitte beachten Sie, dass dieses Formular ausschließlich elektronisch über den Vergabemarktplatz des Landes NRW zu erstellen und ausschließlich elektronisch über diesen an das Amt für Veröffentlichungen der EU zu senden ist. Ggf. werden in diesem Formular nicht alle auszufüllenden Felder angezeigt, da es sich um ein elektronisch dynamisches Formular handelt. </w:t>
      </w:r>
    </w:p>
    <w:p w:rsidR="00A05460" w:rsidRDefault="00A05460" w:rsidP="00817429">
      <w:pPr>
        <w:ind w:firstLine="0"/>
        <w:jc w:val="left"/>
      </w:pPr>
    </w:p>
    <w:tbl>
      <w:tblPr>
        <w:tblStyle w:val="Tabellenraster"/>
        <w:tblW w:w="0" w:type="auto"/>
        <w:tblLook w:val="04A0" w:firstRow="1" w:lastRow="0" w:firstColumn="1" w:lastColumn="0" w:noHBand="0" w:noVBand="1"/>
      </w:tblPr>
      <w:tblGrid>
        <w:gridCol w:w="964"/>
        <w:gridCol w:w="3165"/>
        <w:gridCol w:w="5335"/>
      </w:tblGrid>
      <w:tr w:rsidR="00A05460" w:rsidRPr="00E247A0" w:rsidTr="00A05460">
        <w:tc>
          <w:tcPr>
            <w:tcW w:w="964" w:type="dxa"/>
          </w:tcPr>
          <w:p w:rsidR="00A05460" w:rsidRPr="00E247A0" w:rsidRDefault="00A05460" w:rsidP="00817429">
            <w:pPr>
              <w:ind w:firstLine="0"/>
              <w:jc w:val="left"/>
              <w:rPr>
                <w:b/>
                <w:sz w:val="16"/>
                <w:szCs w:val="16"/>
              </w:rPr>
            </w:pPr>
            <w:r w:rsidRPr="00E247A0">
              <w:rPr>
                <w:b/>
                <w:sz w:val="16"/>
                <w:szCs w:val="16"/>
              </w:rPr>
              <w:t>Abschnitt</w:t>
            </w:r>
          </w:p>
        </w:tc>
        <w:tc>
          <w:tcPr>
            <w:tcW w:w="3165" w:type="dxa"/>
          </w:tcPr>
          <w:p w:rsidR="00A05460" w:rsidRPr="00E247A0" w:rsidRDefault="00A05460" w:rsidP="00817429">
            <w:pPr>
              <w:ind w:firstLine="0"/>
              <w:jc w:val="left"/>
              <w:rPr>
                <w:b/>
                <w:sz w:val="16"/>
                <w:szCs w:val="16"/>
              </w:rPr>
            </w:pPr>
            <w:r w:rsidRPr="00E247A0">
              <w:rPr>
                <w:b/>
                <w:sz w:val="16"/>
                <w:szCs w:val="16"/>
              </w:rPr>
              <w:t>Bezeichnung</w:t>
            </w:r>
          </w:p>
        </w:tc>
        <w:tc>
          <w:tcPr>
            <w:tcW w:w="5335" w:type="dxa"/>
          </w:tcPr>
          <w:p w:rsidR="00A05460" w:rsidRPr="00E247A0" w:rsidRDefault="00A05460" w:rsidP="00817429">
            <w:pPr>
              <w:ind w:firstLine="0"/>
              <w:jc w:val="left"/>
              <w:rPr>
                <w:b/>
                <w:sz w:val="16"/>
                <w:szCs w:val="16"/>
              </w:rPr>
            </w:pPr>
            <w:r w:rsidRPr="00E247A0">
              <w:rPr>
                <w:b/>
                <w:sz w:val="16"/>
                <w:szCs w:val="16"/>
              </w:rPr>
              <w:t>Erläuterung</w:t>
            </w:r>
          </w:p>
        </w:tc>
      </w:tr>
      <w:tr w:rsidR="00A05460" w:rsidRPr="00A05460" w:rsidTr="00A05460">
        <w:tc>
          <w:tcPr>
            <w:tcW w:w="964" w:type="dxa"/>
          </w:tcPr>
          <w:p w:rsidR="00A05460" w:rsidRPr="00A05460" w:rsidRDefault="00A05460" w:rsidP="00817429">
            <w:pPr>
              <w:ind w:firstLine="0"/>
              <w:jc w:val="left"/>
              <w:rPr>
                <w:sz w:val="16"/>
                <w:szCs w:val="16"/>
              </w:rPr>
            </w:pPr>
            <w:r>
              <w:rPr>
                <w:sz w:val="16"/>
                <w:szCs w:val="16"/>
              </w:rPr>
              <w:t>I.1</w:t>
            </w:r>
          </w:p>
        </w:tc>
        <w:tc>
          <w:tcPr>
            <w:tcW w:w="3165" w:type="dxa"/>
          </w:tcPr>
          <w:p w:rsidR="00A05460" w:rsidRPr="00A05460" w:rsidRDefault="00A05460" w:rsidP="00817429">
            <w:pPr>
              <w:ind w:firstLine="0"/>
              <w:jc w:val="left"/>
              <w:rPr>
                <w:sz w:val="16"/>
                <w:szCs w:val="16"/>
              </w:rPr>
            </w:pPr>
            <w:r>
              <w:rPr>
                <w:sz w:val="16"/>
                <w:szCs w:val="16"/>
              </w:rPr>
              <w:t>Identifikationsnummer</w:t>
            </w:r>
          </w:p>
        </w:tc>
        <w:tc>
          <w:tcPr>
            <w:tcW w:w="5335" w:type="dxa"/>
          </w:tcPr>
          <w:p w:rsidR="00A05460" w:rsidRPr="00A05460" w:rsidRDefault="00464150" w:rsidP="00817429">
            <w:pPr>
              <w:ind w:firstLine="0"/>
              <w:jc w:val="left"/>
              <w:rPr>
                <w:sz w:val="16"/>
                <w:szCs w:val="16"/>
              </w:rPr>
            </w:pPr>
            <w:r>
              <w:rPr>
                <w:sz w:val="16"/>
                <w:szCs w:val="16"/>
              </w:rPr>
              <w:t>Eine nationale Identifikationsnummer gibt es in Deutschland nicht. Daher hat hier keine Eintragung zu erfolgen.</w:t>
            </w:r>
          </w:p>
        </w:tc>
      </w:tr>
      <w:tr w:rsidR="00A05460" w:rsidRPr="00A05460" w:rsidTr="00A05460">
        <w:tc>
          <w:tcPr>
            <w:tcW w:w="964" w:type="dxa"/>
          </w:tcPr>
          <w:p w:rsidR="00A05460" w:rsidRPr="00A05460" w:rsidRDefault="00A05460" w:rsidP="00817429">
            <w:pPr>
              <w:ind w:firstLine="0"/>
              <w:jc w:val="left"/>
              <w:rPr>
                <w:sz w:val="16"/>
                <w:szCs w:val="16"/>
              </w:rPr>
            </w:pPr>
          </w:p>
        </w:tc>
        <w:tc>
          <w:tcPr>
            <w:tcW w:w="3165" w:type="dxa"/>
          </w:tcPr>
          <w:p w:rsidR="00A05460" w:rsidRPr="00A05460" w:rsidRDefault="00464150" w:rsidP="00464150">
            <w:pPr>
              <w:ind w:firstLine="0"/>
              <w:jc w:val="left"/>
              <w:rPr>
                <w:sz w:val="16"/>
                <w:szCs w:val="16"/>
              </w:rPr>
            </w:pPr>
            <w:proofErr w:type="spellStart"/>
            <w:r>
              <w:rPr>
                <w:sz w:val="16"/>
                <w:szCs w:val="16"/>
              </w:rPr>
              <w:t>Nuts</w:t>
            </w:r>
            <w:proofErr w:type="spellEnd"/>
            <w:r>
              <w:rPr>
                <w:sz w:val="16"/>
                <w:szCs w:val="16"/>
              </w:rPr>
              <w:t xml:space="preserve"> Code</w:t>
            </w:r>
          </w:p>
        </w:tc>
        <w:tc>
          <w:tcPr>
            <w:tcW w:w="5335" w:type="dxa"/>
          </w:tcPr>
          <w:p w:rsidR="00A05460" w:rsidRPr="00A05460" w:rsidRDefault="00464150" w:rsidP="00817429">
            <w:pPr>
              <w:ind w:firstLine="0"/>
              <w:jc w:val="left"/>
              <w:rPr>
                <w:sz w:val="16"/>
                <w:szCs w:val="16"/>
              </w:rPr>
            </w:pPr>
            <w:r>
              <w:rPr>
                <w:sz w:val="16"/>
                <w:szCs w:val="16"/>
              </w:rPr>
              <w:t xml:space="preserve">Hinweis auf </w:t>
            </w:r>
            <w:hyperlink r:id="rId9" w:history="1">
              <w:r w:rsidRPr="00C5651A">
                <w:rPr>
                  <w:rStyle w:val="Hyperlink"/>
                  <w:sz w:val="16"/>
                  <w:szCs w:val="16"/>
                </w:rPr>
                <w:t>https://simap.ted.europa.eu/de/web/simap/nuts</w:t>
              </w:r>
            </w:hyperlink>
            <w:r>
              <w:rPr>
                <w:sz w:val="16"/>
                <w:szCs w:val="16"/>
              </w:rPr>
              <w:t xml:space="preserve"> . Im VMP NRW besteht eine automatisierte Au</w:t>
            </w:r>
            <w:r w:rsidR="00D7178E">
              <w:rPr>
                <w:sz w:val="16"/>
                <w:szCs w:val="16"/>
              </w:rPr>
              <w:t>s</w:t>
            </w:r>
            <w:r>
              <w:rPr>
                <w:sz w:val="16"/>
                <w:szCs w:val="16"/>
              </w:rPr>
              <w:t>wahlmöglichkeit.</w:t>
            </w:r>
          </w:p>
        </w:tc>
      </w:tr>
      <w:tr w:rsidR="00A05460" w:rsidRPr="00A05460" w:rsidTr="00A05460">
        <w:tc>
          <w:tcPr>
            <w:tcW w:w="964" w:type="dxa"/>
          </w:tcPr>
          <w:p w:rsidR="00A05460" w:rsidRPr="00A05460" w:rsidRDefault="00464150" w:rsidP="00817429">
            <w:pPr>
              <w:ind w:firstLine="0"/>
              <w:jc w:val="left"/>
              <w:rPr>
                <w:sz w:val="16"/>
                <w:szCs w:val="16"/>
              </w:rPr>
            </w:pPr>
            <w:r>
              <w:rPr>
                <w:sz w:val="16"/>
                <w:szCs w:val="16"/>
              </w:rPr>
              <w:t>I.2</w:t>
            </w:r>
          </w:p>
        </w:tc>
        <w:tc>
          <w:tcPr>
            <w:tcW w:w="3165" w:type="dxa"/>
          </w:tcPr>
          <w:p w:rsidR="00A05460" w:rsidRPr="00A05460" w:rsidRDefault="00464150" w:rsidP="00817429">
            <w:pPr>
              <w:ind w:firstLine="0"/>
              <w:jc w:val="left"/>
              <w:rPr>
                <w:sz w:val="16"/>
                <w:szCs w:val="16"/>
              </w:rPr>
            </w:pPr>
            <w:r>
              <w:rPr>
                <w:sz w:val="16"/>
                <w:szCs w:val="16"/>
              </w:rPr>
              <w:t>Gemeinsame Beschaffung</w:t>
            </w:r>
          </w:p>
        </w:tc>
        <w:tc>
          <w:tcPr>
            <w:tcW w:w="5335" w:type="dxa"/>
          </w:tcPr>
          <w:p w:rsidR="00A05460" w:rsidRPr="00A05460" w:rsidRDefault="00464150" w:rsidP="00817429">
            <w:pPr>
              <w:ind w:firstLine="0"/>
              <w:jc w:val="left"/>
              <w:rPr>
                <w:sz w:val="16"/>
                <w:szCs w:val="16"/>
              </w:rPr>
            </w:pPr>
            <w:r>
              <w:rPr>
                <w:sz w:val="16"/>
                <w:szCs w:val="16"/>
              </w:rPr>
              <w:t>Hinweis auf § 4 VgV</w:t>
            </w:r>
          </w:p>
        </w:tc>
      </w:tr>
      <w:tr w:rsidR="00A05460" w:rsidRPr="00A05460" w:rsidTr="00A05460">
        <w:tc>
          <w:tcPr>
            <w:tcW w:w="964" w:type="dxa"/>
          </w:tcPr>
          <w:p w:rsidR="00A05460" w:rsidRPr="00A05460" w:rsidRDefault="00A05460" w:rsidP="00817429">
            <w:pPr>
              <w:ind w:firstLine="0"/>
              <w:jc w:val="left"/>
              <w:rPr>
                <w:sz w:val="16"/>
                <w:szCs w:val="16"/>
              </w:rPr>
            </w:pPr>
          </w:p>
        </w:tc>
        <w:tc>
          <w:tcPr>
            <w:tcW w:w="3165" w:type="dxa"/>
          </w:tcPr>
          <w:p w:rsidR="00A05460" w:rsidRPr="00A05460" w:rsidRDefault="00464150" w:rsidP="00817429">
            <w:pPr>
              <w:ind w:firstLine="0"/>
              <w:jc w:val="left"/>
              <w:rPr>
                <w:sz w:val="16"/>
                <w:szCs w:val="16"/>
              </w:rPr>
            </w:pPr>
            <w:r>
              <w:rPr>
                <w:sz w:val="16"/>
                <w:szCs w:val="16"/>
              </w:rPr>
              <w:t>zentrale Beschaffungsstelle</w:t>
            </w:r>
          </w:p>
        </w:tc>
        <w:tc>
          <w:tcPr>
            <w:tcW w:w="5335" w:type="dxa"/>
          </w:tcPr>
          <w:p w:rsidR="00A05460" w:rsidRPr="00A05460" w:rsidRDefault="00464150" w:rsidP="00817429">
            <w:pPr>
              <w:ind w:firstLine="0"/>
              <w:jc w:val="left"/>
              <w:rPr>
                <w:sz w:val="16"/>
                <w:szCs w:val="16"/>
              </w:rPr>
            </w:pPr>
            <w:r>
              <w:rPr>
                <w:sz w:val="16"/>
                <w:szCs w:val="16"/>
              </w:rPr>
              <w:t>Hinweis auf § 120 Abs. 4 GWB nebst zugehöriger AB</w:t>
            </w:r>
          </w:p>
        </w:tc>
      </w:tr>
      <w:tr w:rsidR="00464150" w:rsidRPr="00A05460" w:rsidTr="00A05460">
        <w:tc>
          <w:tcPr>
            <w:tcW w:w="964" w:type="dxa"/>
          </w:tcPr>
          <w:p w:rsidR="00464150" w:rsidRPr="00A05460" w:rsidRDefault="00464150" w:rsidP="00817429">
            <w:pPr>
              <w:ind w:firstLine="0"/>
              <w:jc w:val="left"/>
              <w:rPr>
                <w:sz w:val="16"/>
                <w:szCs w:val="16"/>
              </w:rPr>
            </w:pPr>
            <w:r>
              <w:rPr>
                <w:sz w:val="16"/>
                <w:szCs w:val="16"/>
              </w:rPr>
              <w:t>I.4</w:t>
            </w:r>
          </w:p>
        </w:tc>
        <w:tc>
          <w:tcPr>
            <w:tcW w:w="3165" w:type="dxa"/>
          </w:tcPr>
          <w:p w:rsidR="00464150" w:rsidRDefault="00464150" w:rsidP="00817429">
            <w:pPr>
              <w:ind w:firstLine="0"/>
              <w:jc w:val="left"/>
              <w:rPr>
                <w:sz w:val="16"/>
                <w:szCs w:val="16"/>
              </w:rPr>
            </w:pPr>
            <w:r>
              <w:rPr>
                <w:sz w:val="16"/>
                <w:szCs w:val="16"/>
              </w:rPr>
              <w:t>Art des öffentlichen Auftraggebers</w:t>
            </w:r>
          </w:p>
        </w:tc>
        <w:tc>
          <w:tcPr>
            <w:tcW w:w="5335" w:type="dxa"/>
          </w:tcPr>
          <w:p w:rsidR="00464150" w:rsidRDefault="00464150" w:rsidP="00817429">
            <w:pPr>
              <w:ind w:firstLine="0"/>
              <w:jc w:val="left"/>
              <w:rPr>
                <w:sz w:val="16"/>
                <w:szCs w:val="16"/>
              </w:rPr>
            </w:pPr>
            <w:r>
              <w:rPr>
                <w:sz w:val="16"/>
                <w:szCs w:val="16"/>
              </w:rPr>
              <w:t>Es ist immer Regional- oder Kommunalbehörde anzukreuzen.</w:t>
            </w:r>
          </w:p>
        </w:tc>
      </w:tr>
      <w:tr w:rsidR="00D7178E" w:rsidRPr="00A05460" w:rsidTr="00A05460">
        <w:tc>
          <w:tcPr>
            <w:tcW w:w="964" w:type="dxa"/>
          </w:tcPr>
          <w:p w:rsidR="00D7178E" w:rsidRDefault="00D7178E" w:rsidP="00817429">
            <w:pPr>
              <w:ind w:firstLine="0"/>
              <w:jc w:val="left"/>
              <w:rPr>
                <w:sz w:val="16"/>
                <w:szCs w:val="16"/>
              </w:rPr>
            </w:pPr>
            <w:r>
              <w:rPr>
                <w:sz w:val="16"/>
                <w:szCs w:val="16"/>
              </w:rPr>
              <w:t>II.1.2</w:t>
            </w:r>
          </w:p>
        </w:tc>
        <w:tc>
          <w:tcPr>
            <w:tcW w:w="3165" w:type="dxa"/>
          </w:tcPr>
          <w:p w:rsidR="00D7178E" w:rsidRDefault="00D7178E" w:rsidP="00817429">
            <w:pPr>
              <w:ind w:firstLine="0"/>
              <w:jc w:val="left"/>
              <w:rPr>
                <w:sz w:val="16"/>
                <w:szCs w:val="16"/>
              </w:rPr>
            </w:pPr>
            <w:r>
              <w:rPr>
                <w:sz w:val="16"/>
                <w:szCs w:val="16"/>
              </w:rPr>
              <w:t>CPV-Code</w:t>
            </w:r>
          </w:p>
        </w:tc>
        <w:tc>
          <w:tcPr>
            <w:tcW w:w="5335" w:type="dxa"/>
          </w:tcPr>
          <w:p w:rsidR="00D7178E" w:rsidRDefault="00D7178E" w:rsidP="006E2F30">
            <w:pPr>
              <w:ind w:firstLine="0"/>
              <w:jc w:val="left"/>
              <w:rPr>
                <w:sz w:val="16"/>
                <w:szCs w:val="16"/>
              </w:rPr>
            </w:pPr>
            <w:r>
              <w:rPr>
                <w:sz w:val="16"/>
                <w:szCs w:val="16"/>
              </w:rPr>
              <w:t xml:space="preserve">Hierbei handelt es sich um das sog. gemeinsame Vokabular für öffentliche Aufträge. Hinweis auf </w:t>
            </w:r>
            <w:hyperlink r:id="rId10" w:history="1">
              <w:r w:rsidRPr="00C5651A">
                <w:rPr>
                  <w:rStyle w:val="Hyperlink"/>
                  <w:sz w:val="16"/>
                  <w:szCs w:val="16"/>
                </w:rPr>
                <w:t>https://simap.ted.europa.eu/de/web/simap/cpv</w:t>
              </w:r>
            </w:hyperlink>
            <w:r>
              <w:rPr>
                <w:sz w:val="16"/>
                <w:szCs w:val="16"/>
              </w:rPr>
              <w:t xml:space="preserve"> . Im VMP NRW besteht eine automatisierte Auswahlmöglichkeit. Der CPV-Code sollte sorgfältig ausgewählt werden. Ggf. sind mehrere CPV-Codes zutreffend. Falsche CPV-Codes können dazu führen, dass die Veröffentlichung seitens des Amtes für Veröffentlichungen der EU abgelehnt </w:t>
            </w:r>
            <w:r w:rsidR="006E2F30">
              <w:rPr>
                <w:sz w:val="16"/>
                <w:szCs w:val="16"/>
              </w:rPr>
              <w:t>wird</w:t>
            </w:r>
            <w:r>
              <w:rPr>
                <w:sz w:val="16"/>
                <w:szCs w:val="16"/>
              </w:rPr>
              <w:t>.</w:t>
            </w:r>
          </w:p>
        </w:tc>
      </w:tr>
      <w:tr w:rsidR="009B57E1" w:rsidRPr="00A05460" w:rsidTr="00A05460">
        <w:tc>
          <w:tcPr>
            <w:tcW w:w="964" w:type="dxa"/>
          </w:tcPr>
          <w:p w:rsidR="009B57E1" w:rsidRDefault="009B57E1" w:rsidP="00817429">
            <w:pPr>
              <w:ind w:firstLine="0"/>
              <w:jc w:val="left"/>
              <w:rPr>
                <w:sz w:val="16"/>
                <w:szCs w:val="16"/>
              </w:rPr>
            </w:pPr>
            <w:r>
              <w:rPr>
                <w:sz w:val="16"/>
                <w:szCs w:val="16"/>
              </w:rPr>
              <w:t>II:1.7</w:t>
            </w:r>
          </w:p>
        </w:tc>
        <w:tc>
          <w:tcPr>
            <w:tcW w:w="3165" w:type="dxa"/>
          </w:tcPr>
          <w:p w:rsidR="009B57E1" w:rsidRDefault="009B57E1" w:rsidP="00817429">
            <w:pPr>
              <w:ind w:firstLine="0"/>
              <w:jc w:val="left"/>
              <w:rPr>
                <w:sz w:val="16"/>
                <w:szCs w:val="16"/>
              </w:rPr>
            </w:pPr>
            <w:r>
              <w:rPr>
                <w:sz w:val="16"/>
                <w:szCs w:val="16"/>
              </w:rPr>
              <w:t>Gesamtwert der Beschaffung</w:t>
            </w:r>
          </w:p>
        </w:tc>
        <w:tc>
          <w:tcPr>
            <w:tcW w:w="5335" w:type="dxa"/>
          </w:tcPr>
          <w:p w:rsidR="009B57E1" w:rsidRDefault="009B57E1" w:rsidP="00D7178E">
            <w:pPr>
              <w:ind w:firstLine="0"/>
              <w:jc w:val="left"/>
              <w:rPr>
                <w:sz w:val="16"/>
                <w:szCs w:val="16"/>
              </w:rPr>
            </w:pPr>
            <w:r>
              <w:rPr>
                <w:sz w:val="16"/>
                <w:szCs w:val="16"/>
              </w:rPr>
              <w:t>Aus Gründen der Vertraulichkeit der Angebote sollen hier nur Angaben zum niedrigsten und höchsten Angebot erfolgen.</w:t>
            </w:r>
          </w:p>
        </w:tc>
      </w:tr>
      <w:tr w:rsidR="00D7178E" w:rsidRPr="00A05460" w:rsidTr="00A05460">
        <w:tc>
          <w:tcPr>
            <w:tcW w:w="964" w:type="dxa"/>
          </w:tcPr>
          <w:p w:rsidR="00D7178E" w:rsidRDefault="00677990" w:rsidP="00817429">
            <w:pPr>
              <w:ind w:firstLine="0"/>
              <w:jc w:val="left"/>
              <w:rPr>
                <w:sz w:val="16"/>
                <w:szCs w:val="16"/>
              </w:rPr>
            </w:pPr>
            <w:r>
              <w:rPr>
                <w:sz w:val="16"/>
                <w:szCs w:val="16"/>
              </w:rPr>
              <w:t>II.2.1-.4</w:t>
            </w:r>
          </w:p>
        </w:tc>
        <w:tc>
          <w:tcPr>
            <w:tcW w:w="3165" w:type="dxa"/>
          </w:tcPr>
          <w:p w:rsidR="00D7178E" w:rsidRDefault="00D7178E" w:rsidP="00817429">
            <w:pPr>
              <w:ind w:firstLine="0"/>
              <w:jc w:val="left"/>
              <w:rPr>
                <w:sz w:val="16"/>
                <w:szCs w:val="16"/>
              </w:rPr>
            </w:pPr>
          </w:p>
        </w:tc>
        <w:tc>
          <w:tcPr>
            <w:tcW w:w="5335" w:type="dxa"/>
          </w:tcPr>
          <w:p w:rsidR="00D7178E" w:rsidRDefault="00677990" w:rsidP="00D7178E">
            <w:pPr>
              <w:ind w:firstLine="0"/>
              <w:jc w:val="left"/>
              <w:rPr>
                <w:sz w:val="16"/>
                <w:szCs w:val="16"/>
              </w:rPr>
            </w:pPr>
            <w:r>
              <w:rPr>
                <w:sz w:val="16"/>
                <w:szCs w:val="16"/>
              </w:rPr>
              <w:t xml:space="preserve">Es ist davon auszugehen, dass in diesen </w:t>
            </w:r>
            <w:proofErr w:type="spellStart"/>
            <w:r>
              <w:rPr>
                <w:sz w:val="16"/>
                <w:szCs w:val="16"/>
              </w:rPr>
              <w:t>Nr</w:t>
            </w:r>
            <w:proofErr w:type="spellEnd"/>
            <w:r>
              <w:rPr>
                <w:sz w:val="16"/>
                <w:szCs w:val="16"/>
              </w:rPr>
              <w:t>:`n die einzelnen Lose beschrieben werden müssen.</w:t>
            </w:r>
          </w:p>
        </w:tc>
      </w:tr>
      <w:tr w:rsidR="006E2F30" w:rsidRPr="00A05460" w:rsidTr="00A05460">
        <w:tc>
          <w:tcPr>
            <w:tcW w:w="964" w:type="dxa"/>
          </w:tcPr>
          <w:p w:rsidR="006E2F30" w:rsidRDefault="00DF6802" w:rsidP="00817429">
            <w:pPr>
              <w:ind w:firstLine="0"/>
              <w:jc w:val="left"/>
              <w:rPr>
                <w:sz w:val="16"/>
                <w:szCs w:val="16"/>
              </w:rPr>
            </w:pPr>
            <w:r>
              <w:rPr>
                <w:sz w:val="16"/>
                <w:szCs w:val="16"/>
              </w:rPr>
              <w:t>II.2.5</w:t>
            </w:r>
          </w:p>
        </w:tc>
        <w:tc>
          <w:tcPr>
            <w:tcW w:w="3165" w:type="dxa"/>
          </w:tcPr>
          <w:p w:rsidR="006E2F30" w:rsidRDefault="00DF6802" w:rsidP="00817429">
            <w:pPr>
              <w:ind w:firstLine="0"/>
              <w:jc w:val="left"/>
              <w:rPr>
                <w:sz w:val="16"/>
                <w:szCs w:val="16"/>
              </w:rPr>
            </w:pPr>
            <w:r>
              <w:rPr>
                <w:sz w:val="16"/>
                <w:szCs w:val="16"/>
              </w:rPr>
              <w:t>Zuschlagskriterien</w:t>
            </w:r>
          </w:p>
        </w:tc>
        <w:tc>
          <w:tcPr>
            <w:tcW w:w="5335" w:type="dxa"/>
          </w:tcPr>
          <w:p w:rsidR="006E2F30" w:rsidRDefault="009B57E1" w:rsidP="00DF6802">
            <w:pPr>
              <w:ind w:firstLine="0"/>
              <w:jc w:val="left"/>
              <w:rPr>
                <w:sz w:val="16"/>
                <w:szCs w:val="16"/>
              </w:rPr>
            </w:pPr>
            <w:r>
              <w:rPr>
                <w:sz w:val="16"/>
                <w:szCs w:val="16"/>
              </w:rPr>
              <w:t>Die anzu</w:t>
            </w:r>
            <w:r w:rsidR="00D02426">
              <w:rPr>
                <w:sz w:val="16"/>
                <w:szCs w:val="16"/>
              </w:rPr>
              <w:t>gebenen Zuschlagskriterien müssen identisch sein mit den in einer etwaigen Auftragsbekanntmachung aufgeführten Kriterien.</w:t>
            </w:r>
          </w:p>
        </w:tc>
      </w:tr>
      <w:tr w:rsidR="00677990" w:rsidRPr="00A05460" w:rsidTr="00A05460">
        <w:tc>
          <w:tcPr>
            <w:tcW w:w="964" w:type="dxa"/>
          </w:tcPr>
          <w:p w:rsidR="00677990" w:rsidRDefault="00677990" w:rsidP="00817429">
            <w:pPr>
              <w:ind w:firstLine="0"/>
              <w:jc w:val="left"/>
              <w:rPr>
                <w:sz w:val="16"/>
                <w:szCs w:val="16"/>
              </w:rPr>
            </w:pPr>
            <w:r>
              <w:rPr>
                <w:sz w:val="16"/>
                <w:szCs w:val="16"/>
              </w:rPr>
              <w:t>II.2.11</w:t>
            </w:r>
          </w:p>
        </w:tc>
        <w:tc>
          <w:tcPr>
            <w:tcW w:w="3165" w:type="dxa"/>
          </w:tcPr>
          <w:p w:rsidR="00677990" w:rsidRDefault="00677990" w:rsidP="00817429">
            <w:pPr>
              <w:ind w:firstLine="0"/>
              <w:jc w:val="left"/>
              <w:rPr>
                <w:sz w:val="16"/>
                <w:szCs w:val="16"/>
              </w:rPr>
            </w:pPr>
            <w:r>
              <w:rPr>
                <w:sz w:val="16"/>
                <w:szCs w:val="16"/>
              </w:rPr>
              <w:t>Optionen</w:t>
            </w:r>
          </w:p>
        </w:tc>
        <w:tc>
          <w:tcPr>
            <w:tcW w:w="5335" w:type="dxa"/>
          </w:tcPr>
          <w:p w:rsidR="00677990" w:rsidRDefault="00677990" w:rsidP="00D7178E">
            <w:pPr>
              <w:ind w:firstLine="0"/>
              <w:jc w:val="left"/>
              <w:rPr>
                <w:sz w:val="16"/>
                <w:szCs w:val="16"/>
              </w:rPr>
            </w:pPr>
            <w:r>
              <w:rPr>
                <w:sz w:val="16"/>
                <w:szCs w:val="16"/>
              </w:rPr>
              <w:t>Hinweis auf AB Nr. 3 zu § 3 Abs.1 und 2 VgV</w:t>
            </w:r>
          </w:p>
        </w:tc>
      </w:tr>
      <w:tr w:rsidR="00D02426" w:rsidRPr="00E247A0" w:rsidTr="00D02426">
        <w:tc>
          <w:tcPr>
            <w:tcW w:w="964" w:type="dxa"/>
          </w:tcPr>
          <w:p w:rsidR="00D02426" w:rsidRDefault="00D02426" w:rsidP="007426D4">
            <w:pPr>
              <w:ind w:firstLine="0"/>
              <w:jc w:val="left"/>
              <w:rPr>
                <w:sz w:val="16"/>
                <w:szCs w:val="16"/>
              </w:rPr>
            </w:pPr>
            <w:r>
              <w:rPr>
                <w:sz w:val="16"/>
                <w:szCs w:val="16"/>
              </w:rPr>
              <w:t>IV.1.1</w:t>
            </w:r>
          </w:p>
        </w:tc>
        <w:tc>
          <w:tcPr>
            <w:tcW w:w="3165" w:type="dxa"/>
          </w:tcPr>
          <w:p w:rsidR="00D02426" w:rsidRDefault="00D02426" w:rsidP="007426D4">
            <w:pPr>
              <w:ind w:firstLine="0"/>
              <w:jc w:val="left"/>
              <w:rPr>
                <w:sz w:val="16"/>
                <w:szCs w:val="16"/>
              </w:rPr>
            </w:pPr>
            <w:r>
              <w:rPr>
                <w:sz w:val="16"/>
                <w:szCs w:val="16"/>
              </w:rPr>
              <w:t>Wahl Verfahrensart</w:t>
            </w:r>
          </w:p>
        </w:tc>
        <w:tc>
          <w:tcPr>
            <w:tcW w:w="5335" w:type="dxa"/>
          </w:tcPr>
          <w:p w:rsidR="00D02426" w:rsidRDefault="00D02426" w:rsidP="00D02426">
            <w:pPr>
              <w:ind w:firstLine="0"/>
              <w:jc w:val="left"/>
              <w:rPr>
                <w:sz w:val="16"/>
                <w:szCs w:val="16"/>
              </w:rPr>
            </w:pPr>
            <w:r>
              <w:rPr>
                <w:sz w:val="16"/>
                <w:szCs w:val="16"/>
              </w:rPr>
              <w:t>Im Hinblick auf die Rechtsfolgen des § 135 GWB ist die Wahl des Verhandlungsverfahrens ohne Teilnahmewettbewerb nicht nur anzukreuzen, sondern stets zu begründen.</w:t>
            </w:r>
          </w:p>
        </w:tc>
      </w:tr>
      <w:tr w:rsidR="00D02426" w:rsidRPr="00E247A0" w:rsidTr="00D02426">
        <w:tc>
          <w:tcPr>
            <w:tcW w:w="964" w:type="dxa"/>
          </w:tcPr>
          <w:p w:rsidR="00D02426" w:rsidRDefault="00D02426" w:rsidP="007426D4">
            <w:pPr>
              <w:ind w:firstLine="0"/>
              <w:jc w:val="left"/>
              <w:rPr>
                <w:sz w:val="16"/>
                <w:szCs w:val="16"/>
              </w:rPr>
            </w:pPr>
          </w:p>
        </w:tc>
        <w:tc>
          <w:tcPr>
            <w:tcW w:w="3165" w:type="dxa"/>
          </w:tcPr>
          <w:p w:rsidR="00D02426" w:rsidRDefault="00D02426" w:rsidP="007426D4">
            <w:pPr>
              <w:ind w:firstLine="0"/>
              <w:jc w:val="left"/>
              <w:rPr>
                <w:sz w:val="16"/>
                <w:szCs w:val="16"/>
              </w:rPr>
            </w:pPr>
            <w:r>
              <w:rPr>
                <w:sz w:val="16"/>
                <w:szCs w:val="16"/>
              </w:rPr>
              <w:t>Begründung Beschleunigung</w:t>
            </w:r>
          </w:p>
        </w:tc>
        <w:tc>
          <w:tcPr>
            <w:tcW w:w="5335" w:type="dxa"/>
          </w:tcPr>
          <w:p w:rsidR="00D02426" w:rsidRDefault="00D02426" w:rsidP="004152A9">
            <w:pPr>
              <w:ind w:firstLine="0"/>
              <w:jc w:val="left"/>
              <w:rPr>
                <w:sz w:val="16"/>
                <w:szCs w:val="16"/>
              </w:rPr>
            </w:pPr>
            <w:r>
              <w:rPr>
                <w:sz w:val="16"/>
                <w:szCs w:val="16"/>
              </w:rPr>
              <w:t>Die Inanspruchnahme verkürzter Fristen wegen Dringlichkeit ist zu begründen. Es sind ggf. die Angaben aus der ursprünglichen Auftragsbekanntmachung zu übernehmen.</w:t>
            </w:r>
          </w:p>
        </w:tc>
      </w:tr>
      <w:tr w:rsidR="00D02426" w:rsidRPr="00E247A0" w:rsidTr="00D02426">
        <w:tc>
          <w:tcPr>
            <w:tcW w:w="964" w:type="dxa"/>
          </w:tcPr>
          <w:p w:rsidR="00D02426" w:rsidRDefault="00D02426" w:rsidP="007426D4">
            <w:pPr>
              <w:ind w:firstLine="0"/>
              <w:jc w:val="left"/>
              <w:rPr>
                <w:sz w:val="16"/>
                <w:szCs w:val="16"/>
              </w:rPr>
            </w:pPr>
            <w:r>
              <w:rPr>
                <w:sz w:val="16"/>
                <w:szCs w:val="16"/>
              </w:rPr>
              <w:t>IV.1.3</w:t>
            </w:r>
          </w:p>
        </w:tc>
        <w:tc>
          <w:tcPr>
            <w:tcW w:w="3165" w:type="dxa"/>
          </w:tcPr>
          <w:p w:rsidR="00D02426" w:rsidRDefault="00D02426" w:rsidP="007426D4">
            <w:pPr>
              <w:ind w:firstLine="0"/>
              <w:jc w:val="left"/>
              <w:rPr>
                <w:sz w:val="16"/>
                <w:szCs w:val="16"/>
              </w:rPr>
            </w:pPr>
            <w:r>
              <w:rPr>
                <w:sz w:val="16"/>
                <w:szCs w:val="16"/>
              </w:rPr>
              <w:t>Rahmenvereinbarungen</w:t>
            </w:r>
          </w:p>
        </w:tc>
        <w:tc>
          <w:tcPr>
            <w:tcW w:w="5335" w:type="dxa"/>
          </w:tcPr>
          <w:p w:rsidR="00D02426" w:rsidRDefault="00D02426" w:rsidP="007426D4">
            <w:pPr>
              <w:ind w:firstLine="0"/>
              <w:jc w:val="left"/>
              <w:rPr>
                <w:sz w:val="16"/>
                <w:szCs w:val="16"/>
              </w:rPr>
            </w:pPr>
            <w:r>
              <w:rPr>
                <w:sz w:val="16"/>
                <w:szCs w:val="16"/>
              </w:rPr>
              <w:t>Hinweis auf § 21 VgV</w:t>
            </w:r>
          </w:p>
        </w:tc>
      </w:tr>
      <w:tr w:rsidR="00D02426" w:rsidRPr="00E247A0" w:rsidTr="00D02426">
        <w:tc>
          <w:tcPr>
            <w:tcW w:w="964" w:type="dxa"/>
          </w:tcPr>
          <w:p w:rsidR="00D02426" w:rsidRDefault="00D02426" w:rsidP="007426D4">
            <w:pPr>
              <w:ind w:firstLine="0"/>
              <w:jc w:val="left"/>
              <w:rPr>
                <w:sz w:val="16"/>
                <w:szCs w:val="16"/>
              </w:rPr>
            </w:pPr>
            <w:r>
              <w:rPr>
                <w:sz w:val="16"/>
                <w:szCs w:val="16"/>
              </w:rPr>
              <w:t>IV.1.8</w:t>
            </w:r>
          </w:p>
        </w:tc>
        <w:tc>
          <w:tcPr>
            <w:tcW w:w="3165" w:type="dxa"/>
          </w:tcPr>
          <w:p w:rsidR="00D02426" w:rsidRDefault="00D02426" w:rsidP="007426D4">
            <w:pPr>
              <w:ind w:firstLine="0"/>
              <w:jc w:val="left"/>
              <w:rPr>
                <w:sz w:val="16"/>
                <w:szCs w:val="16"/>
              </w:rPr>
            </w:pPr>
            <w:r>
              <w:rPr>
                <w:sz w:val="16"/>
                <w:szCs w:val="16"/>
              </w:rPr>
              <w:t>Beschaffungsübereinkommen</w:t>
            </w:r>
          </w:p>
        </w:tc>
        <w:tc>
          <w:tcPr>
            <w:tcW w:w="5335" w:type="dxa"/>
          </w:tcPr>
          <w:p w:rsidR="00D02426" w:rsidRDefault="000659CF" w:rsidP="000659CF">
            <w:pPr>
              <w:ind w:firstLine="0"/>
              <w:jc w:val="left"/>
              <w:rPr>
                <w:sz w:val="16"/>
                <w:szCs w:val="16"/>
              </w:rPr>
            </w:pPr>
            <w:r>
              <w:rPr>
                <w:sz w:val="16"/>
                <w:szCs w:val="16"/>
              </w:rPr>
              <w:t>Unter das GPA fallen grundsätzlich alle öffentlichen Aufträge, welche die EU-Schwellenwerte überschreiten. Nicht unter das GPA fallen öffentlichen Aufträge, die nach §§ 107, 116 und 117 nicht den EU-Vergaberichtlinien unterliegen, sowie soziale und andere besondere Dienstleistungen nach § 130 VgV. Bei Lieferaufträgen wird daher zu der Frage, ob das Beschaffungsübereinkommen anwendbar ist, in jedem Fall ein „Ja“ anzukreuzen sein, bei Dienstleistungsaufträgen in der Mehrzahl der Fälle.</w:t>
            </w:r>
          </w:p>
        </w:tc>
      </w:tr>
      <w:tr w:rsidR="00D02426" w:rsidRPr="00E247A0" w:rsidTr="00D02426">
        <w:tc>
          <w:tcPr>
            <w:tcW w:w="964" w:type="dxa"/>
          </w:tcPr>
          <w:p w:rsidR="00D02426" w:rsidRDefault="00D02426" w:rsidP="007426D4">
            <w:pPr>
              <w:ind w:firstLine="0"/>
              <w:jc w:val="left"/>
              <w:rPr>
                <w:sz w:val="16"/>
                <w:szCs w:val="16"/>
              </w:rPr>
            </w:pPr>
            <w:r>
              <w:rPr>
                <w:sz w:val="16"/>
                <w:szCs w:val="16"/>
              </w:rPr>
              <w:lastRenderedPageBreak/>
              <w:t>V.1</w:t>
            </w:r>
          </w:p>
        </w:tc>
        <w:tc>
          <w:tcPr>
            <w:tcW w:w="3165" w:type="dxa"/>
          </w:tcPr>
          <w:p w:rsidR="00D02426" w:rsidRDefault="00D02426" w:rsidP="007426D4">
            <w:pPr>
              <w:ind w:firstLine="0"/>
              <w:jc w:val="left"/>
              <w:rPr>
                <w:sz w:val="16"/>
                <w:szCs w:val="16"/>
              </w:rPr>
            </w:pPr>
            <w:r>
              <w:rPr>
                <w:sz w:val="16"/>
                <w:szCs w:val="16"/>
              </w:rPr>
              <w:t>Information über Nichtvergabe</w:t>
            </w:r>
          </w:p>
        </w:tc>
        <w:tc>
          <w:tcPr>
            <w:tcW w:w="5335" w:type="dxa"/>
          </w:tcPr>
          <w:p w:rsidR="00D02426" w:rsidRPr="00297CEA" w:rsidRDefault="00D02426" w:rsidP="007426D4">
            <w:pPr>
              <w:ind w:firstLine="0"/>
              <w:jc w:val="left"/>
              <w:rPr>
                <w:sz w:val="16"/>
                <w:szCs w:val="16"/>
                <w:highlight w:val="yellow"/>
              </w:rPr>
            </w:pPr>
            <w:r w:rsidRPr="00D02426">
              <w:rPr>
                <w:sz w:val="16"/>
                <w:szCs w:val="16"/>
              </w:rPr>
              <w:t>Hinweis</w:t>
            </w:r>
            <w:r>
              <w:rPr>
                <w:sz w:val="16"/>
                <w:szCs w:val="16"/>
              </w:rPr>
              <w:t xml:space="preserve"> </w:t>
            </w:r>
            <w:r w:rsidR="00D630E2">
              <w:rPr>
                <w:sz w:val="16"/>
                <w:szCs w:val="16"/>
              </w:rPr>
              <w:t>auf § 63 VgV nebst AB</w:t>
            </w:r>
          </w:p>
        </w:tc>
      </w:tr>
      <w:tr w:rsidR="00D630E2" w:rsidRPr="00E247A0" w:rsidTr="00D02426">
        <w:tc>
          <w:tcPr>
            <w:tcW w:w="964" w:type="dxa"/>
          </w:tcPr>
          <w:p w:rsidR="00D630E2" w:rsidRDefault="00D630E2" w:rsidP="007426D4">
            <w:pPr>
              <w:ind w:firstLine="0"/>
              <w:jc w:val="left"/>
              <w:rPr>
                <w:sz w:val="16"/>
                <w:szCs w:val="16"/>
              </w:rPr>
            </w:pPr>
            <w:r>
              <w:rPr>
                <w:sz w:val="16"/>
                <w:szCs w:val="16"/>
              </w:rPr>
              <w:t>V.2.2</w:t>
            </w:r>
          </w:p>
        </w:tc>
        <w:tc>
          <w:tcPr>
            <w:tcW w:w="3165" w:type="dxa"/>
          </w:tcPr>
          <w:p w:rsidR="00D630E2" w:rsidRDefault="00D630E2" w:rsidP="007426D4">
            <w:pPr>
              <w:ind w:firstLine="0"/>
              <w:jc w:val="left"/>
              <w:rPr>
                <w:sz w:val="16"/>
                <w:szCs w:val="16"/>
              </w:rPr>
            </w:pPr>
            <w:r>
              <w:rPr>
                <w:sz w:val="16"/>
                <w:szCs w:val="16"/>
              </w:rPr>
              <w:t>Angebote KMU</w:t>
            </w:r>
          </w:p>
        </w:tc>
        <w:tc>
          <w:tcPr>
            <w:tcW w:w="5335" w:type="dxa"/>
          </w:tcPr>
          <w:p w:rsidR="00D630E2" w:rsidRPr="00D02426" w:rsidRDefault="00D630E2" w:rsidP="007426D4">
            <w:pPr>
              <w:ind w:firstLine="0"/>
              <w:jc w:val="left"/>
              <w:rPr>
                <w:sz w:val="16"/>
                <w:szCs w:val="16"/>
              </w:rPr>
            </w:pPr>
            <w:r>
              <w:rPr>
                <w:sz w:val="16"/>
                <w:szCs w:val="16"/>
              </w:rPr>
              <w:t>Die Unternehmensgröße in Mitarbeiter- oder Umsatzzahl wird im Vergabeverfahren nicht abgefragt, so dass keine Angabe hierzu zu machen wäre.</w:t>
            </w:r>
          </w:p>
        </w:tc>
      </w:tr>
      <w:tr w:rsidR="00D630E2" w:rsidRPr="00E247A0" w:rsidTr="00D02426">
        <w:tc>
          <w:tcPr>
            <w:tcW w:w="964" w:type="dxa"/>
          </w:tcPr>
          <w:p w:rsidR="00D630E2" w:rsidRDefault="00D630E2" w:rsidP="007426D4">
            <w:pPr>
              <w:ind w:firstLine="0"/>
              <w:jc w:val="left"/>
              <w:rPr>
                <w:sz w:val="16"/>
                <w:szCs w:val="16"/>
              </w:rPr>
            </w:pPr>
            <w:r>
              <w:rPr>
                <w:sz w:val="16"/>
                <w:szCs w:val="16"/>
              </w:rPr>
              <w:t>V.2.5</w:t>
            </w:r>
          </w:p>
        </w:tc>
        <w:tc>
          <w:tcPr>
            <w:tcW w:w="3165" w:type="dxa"/>
          </w:tcPr>
          <w:p w:rsidR="00D630E2" w:rsidRDefault="00D630E2" w:rsidP="007426D4">
            <w:pPr>
              <w:ind w:firstLine="0"/>
              <w:jc w:val="left"/>
              <w:rPr>
                <w:sz w:val="16"/>
                <w:szCs w:val="16"/>
              </w:rPr>
            </w:pPr>
            <w:r>
              <w:rPr>
                <w:sz w:val="16"/>
                <w:szCs w:val="16"/>
              </w:rPr>
              <w:t>Unteraufträge</w:t>
            </w:r>
          </w:p>
        </w:tc>
        <w:tc>
          <w:tcPr>
            <w:tcW w:w="5335" w:type="dxa"/>
          </w:tcPr>
          <w:p w:rsidR="00D630E2" w:rsidRDefault="00D630E2" w:rsidP="007426D4">
            <w:pPr>
              <w:ind w:firstLine="0"/>
              <w:jc w:val="left"/>
              <w:rPr>
                <w:sz w:val="16"/>
                <w:szCs w:val="16"/>
              </w:rPr>
            </w:pPr>
            <w:r>
              <w:rPr>
                <w:sz w:val="16"/>
                <w:szCs w:val="16"/>
              </w:rPr>
              <w:t>Hinweis auf § 36 VgV</w:t>
            </w:r>
          </w:p>
        </w:tc>
      </w:tr>
    </w:tbl>
    <w:p w:rsidR="00570571" w:rsidRDefault="00DF6802">
      <w:r>
        <w:t xml:space="preserve"> </w:t>
      </w:r>
    </w:p>
    <w:tbl>
      <w:tblPr>
        <w:tblStyle w:val="Tabellenraster"/>
        <w:tblW w:w="0" w:type="auto"/>
        <w:tblLook w:val="04A0" w:firstRow="1" w:lastRow="0" w:firstColumn="1" w:lastColumn="0" w:noHBand="0" w:noVBand="1"/>
      </w:tblPr>
      <w:tblGrid>
        <w:gridCol w:w="964"/>
        <w:gridCol w:w="3165"/>
        <w:gridCol w:w="5335"/>
      </w:tblGrid>
      <w:tr w:rsidR="00E247A0" w:rsidRPr="00E247A0" w:rsidTr="00E247A0">
        <w:tc>
          <w:tcPr>
            <w:tcW w:w="964" w:type="dxa"/>
          </w:tcPr>
          <w:p w:rsidR="00E247A0" w:rsidRPr="00E247A0" w:rsidRDefault="00E247A0" w:rsidP="007426D4">
            <w:pPr>
              <w:ind w:firstLine="0"/>
              <w:jc w:val="left"/>
              <w:rPr>
                <w:b/>
                <w:sz w:val="16"/>
                <w:szCs w:val="16"/>
              </w:rPr>
            </w:pPr>
            <w:r w:rsidRPr="00E247A0">
              <w:rPr>
                <w:b/>
                <w:sz w:val="16"/>
                <w:szCs w:val="16"/>
              </w:rPr>
              <w:t>Abschnitt</w:t>
            </w:r>
          </w:p>
        </w:tc>
        <w:tc>
          <w:tcPr>
            <w:tcW w:w="3165" w:type="dxa"/>
          </w:tcPr>
          <w:p w:rsidR="00E247A0" w:rsidRPr="00E247A0" w:rsidRDefault="00E247A0" w:rsidP="007426D4">
            <w:pPr>
              <w:ind w:firstLine="0"/>
              <w:jc w:val="left"/>
              <w:rPr>
                <w:b/>
                <w:sz w:val="16"/>
                <w:szCs w:val="16"/>
              </w:rPr>
            </w:pPr>
            <w:r w:rsidRPr="00E247A0">
              <w:rPr>
                <w:b/>
                <w:sz w:val="16"/>
                <w:szCs w:val="16"/>
              </w:rPr>
              <w:t>Bezeichnung</w:t>
            </w:r>
          </w:p>
        </w:tc>
        <w:tc>
          <w:tcPr>
            <w:tcW w:w="5335" w:type="dxa"/>
          </w:tcPr>
          <w:p w:rsidR="00E247A0" w:rsidRPr="00E247A0" w:rsidRDefault="00E247A0" w:rsidP="007426D4">
            <w:pPr>
              <w:ind w:firstLine="0"/>
              <w:jc w:val="left"/>
              <w:rPr>
                <w:b/>
                <w:sz w:val="16"/>
                <w:szCs w:val="16"/>
              </w:rPr>
            </w:pPr>
            <w:r w:rsidRPr="00E247A0">
              <w:rPr>
                <w:b/>
                <w:sz w:val="16"/>
                <w:szCs w:val="16"/>
              </w:rPr>
              <w:t>Erläuterung</w:t>
            </w:r>
          </w:p>
        </w:tc>
      </w:tr>
      <w:tr w:rsidR="00570571" w:rsidRPr="00E247A0" w:rsidTr="00E247A0">
        <w:tc>
          <w:tcPr>
            <w:tcW w:w="964" w:type="dxa"/>
          </w:tcPr>
          <w:p w:rsidR="00570571" w:rsidRDefault="00570571" w:rsidP="007426D4">
            <w:pPr>
              <w:ind w:firstLine="0"/>
              <w:jc w:val="left"/>
              <w:rPr>
                <w:sz w:val="16"/>
                <w:szCs w:val="16"/>
              </w:rPr>
            </w:pPr>
            <w:r>
              <w:rPr>
                <w:sz w:val="16"/>
                <w:szCs w:val="16"/>
              </w:rPr>
              <w:t>VI.4.1</w:t>
            </w:r>
          </w:p>
        </w:tc>
        <w:tc>
          <w:tcPr>
            <w:tcW w:w="3165" w:type="dxa"/>
          </w:tcPr>
          <w:p w:rsidR="00570571" w:rsidRDefault="00570571" w:rsidP="00A25539">
            <w:pPr>
              <w:ind w:firstLine="0"/>
              <w:jc w:val="left"/>
              <w:rPr>
                <w:sz w:val="16"/>
                <w:szCs w:val="16"/>
              </w:rPr>
            </w:pPr>
            <w:r>
              <w:rPr>
                <w:sz w:val="16"/>
                <w:szCs w:val="16"/>
              </w:rPr>
              <w:t>Nachprüfungsverfahren</w:t>
            </w:r>
          </w:p>
        </w:tc>
        <w:tc>
          <w:tcPr>
            <w:tcW w:w="5335" w:type="dxa"/>
          </w:tcPr>
          <w:p w:rsidR="00570571" w:rsidRPr="00570571" w:rsidRDefault="00570571" w:rsidP="00075AA3">
            <w:pPr>
              <w:ind w:firstLine="0"/>
              <w:jc w:val="left"/>
              <w:rPr>
                <w:sz w:val="16"/>
                <w:szCs w:val="16"/>
              </w:rPr>
            </w:pPr>
            <w:r>
              <w:rPr>
                <w:sz w:val="16"/>
                <w:szCs w:val="16"/>
              </w:rPr>
              <w:t>Angabe der zuständigen Vergabekammer</w:t>
            </w:r>
            <w:r w:rsidR="00D630E2">
              <w:rPr>
                <w:sz w:val="16"/>
                <w:szCs w:val="16"/>
              </w:rPr>
              <w:t xml:space="preserve"> nur in den Fällen des Verhandlungsverfahrens ohne Teilnahmewettbewerb</w:t>
            </w:r>
            <w:r>
              <w:rPr>
                <w:sz w:val="16"/>
                <w:szCs w:val="16"/>
              </w:rPr>
              <w:t>.</w:t>
            </w:r>
          </w:p>
        </w:tc>
      </w:tr>
      <w:tr w:rsidR="00C80958" w:rsidRPr="00E247A0" w:rsidTr="00E247A0">
        <w:tc>
          <w:tcPr>
            <w:tcW w:w="964" w:type="dxa"/>
          </w:tcPr>
          <w:p w:rsidR="00C80958" w:rsidRDefault="00C80958" w:rsidP="007426D4">
            <w:pPr>
              <w:ind w:firstLine="0"/>
              <w:jc w:val="left"/>
              <w:rPr>
                <w:sz w:val="16"/>
                <w:szCs w:val="16"/>
              </w:rPr>
            </w:pPr>
            <w:r>
              <w:rPr>
                <w:sz w:val="16"/>
                <w:szCs w:val="16"/>
              </w:rPr>
              <w:t>VI.4.3</w:t>
            </w:r>
          </w:p>
        </w:tc>
        <w:tc>
          <w:tcPr>
            <w:tcW w:w="3165" w:type="dxa"/>
          </w:tcPr>
          <w:p w:rsidR="00C80958" w:rsidRDefault="00C80958" w:rsidP="00A25539">
            <w:pPr>
              <w:ind w:firstLine="0"/>
              <w:jc w:val="left"/>
              <w:rPr>
                <w:sz w:val="16"/>
                <w:szCs w:val="16"/>
              </w:rPr>
            </w:pPr>
            <w:r>
              <w:rPr>
                <w:sz w:val="16"/>
                <w:szCs w:val="16"/>
              </w:rPr>
              <w:t>Einlegung von Rechtsbehelfen</w:t>
            </w:r>
          </w:p>
        </w:tc>
        <w:tc>
          <w:tcPr>
            <w:tcW w:w="5335" w:type="dxa"/>
          </w:tcPr>
          <w:p w:rsidR="00C80958" w:rsidRDefault="00C80958" w:rsidP="007426D4">
            <w:pPr>
              <w:ind w:firstLine="0"/>
              <w:jc w:val="left"/>
              <w:rPr>
                <w:sz w:val="16"/>
                <w:szCs w:val="16"/>
              </w:rPr>
            </w:pPr>
            <w:r>
              <w:rPr>
                <w:sz w:val="16"/>
                <w:szCs w:val="16"/>
              </w:rPr>
              <w:t xml:space="preserve">Folgender Text ist bei </w:t>
            </w:r>
            <w:r w:rsidR="00D630E2">
              <w:rPr>
                <w:sz w:val="16"/>
                <w:szCs w:val="16"/>
              </w:rPr>
              <w:t>Verhandlungsverfahren ohne Teilnahmewettbewerb</w:t>
            </w:r>
            <w:r>
              <w:rPr>
                <w:sz w:val="16"/>
                <w:szCs w:val="16"/>
              </w:rPr>
              <w:t xml:space="preserve"> einzutragen:</w:t>
            </w:r>
          </w:p>
          <w:p w:rsidR="00C80958" w:rsidRDefault="00D630E2" w:rsidP="00D630E2">
            <w:pPr>
              <w:ind w:firstLine="0"/>
              <w:jc w:val="left"/>
              <w:rPr>
                <w:sz w:val="16"/>
                <w:szCs w:val="16"/>
              </w:rPr>
            </w:pPr>
            <w:r>
              <w:rPr>
                <w:sz w:val="16"/>
                <w:szCs w:val="16"/>
              </w:rPr>
              <w:t xml:space="preserve">Die Frist zur Geltendmachung der Unwirksamkeit des geschlossenen Vertrages in einem Nachprüfungsverfahren </w:t>
            </w:r>
            <w:proofErr w:type="gramStart"/>
            <w:r>
              <w:rPr>
                <w:sz w:val="16"/>
                <w:szCs w:val="16"/>
              </w:rPr>
              <w:t>endet</w:t>
            </w:r>
            <w:proofErr w:type="gramEnd"/>
            <w:r>
              <w:rPr>
                <w:sz w:val="16"/>
                <w:szCs w:val="16"/>
              </w:rPr>
              <w:t xml:space="preserve"> 30 Kalendertage nach Veröffentlichung dieser Bekanntmachung.</w:t>
            </w:r>
          </w:p>
        </w:tc>
      </w:tr>
      <w:tr w:rsidR="00CD6723" w:rsidRPr="00E247A0" w:rsidTr="00E247A0">
        <w:tc>
          <w:tcPr>
            <w:tcW w:w="964" w:type="dxa"/>
          </w:tcPr>
          <w:p w:rsidR="00CD6723" w:rsidRDefault="00CD6723" w:rsidP="007426D4">
            <w:pPr>
              <w:ind w:firstLine="0"/>
              <w:jc w:val="left"/>
              <w:rPr>
                <w:sz w:val="16"/>
                <w:szCs w:val="16"/>
              </w:rPr>
            </w:pPr>
            <w:r>
              <w:rPr>
                <w:sz w:val="16"/>
                <w:szCs w:val="16"/>
              </w:rPr>
              <w:t>VI.5</w:t>
            </w:r>
          </w:p>
        </w:tc>
        <w:tc>
          <w:tcPr>
            <w:tcW w:w="3165" w:type="dxa"/>
          </w:tcPr>
          <w:p w:rsidR="00CD6723" w:rsidRDefault="00CD6723" w:rsidP="00A25539">
            <w:pPr>
              <w:ind w:firstLine="0"/>
              <w:jc w:val="left"/>
              <w:rPr>
                <w:sz w:val="16"/>
                <w:szCs w:val="16"/>
              </w:rPr>
            </w:pPr>
            <w:r>
              <w:rPr>
                <w:sz w:val="16"/>
                <w:szCs w:val="16"/>
              </w:rPr>
              <w:t>Tag der Absendung</w:t>
            </w:r>
          </w:p>
        </w:tc>
        <w:tc>
          <w:tcPr>
            <w:tcW w:w="5335" w:type="dxa"/>
          </w:tcPr>
          <w:p w:rsidR="00CD6723" w:rsidRDefault="00CD6723" w:rsidP="007426D4">
            <w:pPr>
              <w:ind w:firstLine="0"/>
              <w:jc w:val="left"/>
              <w:rPr>
                <w:sz w:val="16"/>
                <w:szCs w:val="16"/>
              </w:rPr>
            </w:pPr>
            <w:r>
              <w:rPr>
                <w:sz w:val="16"/>
                <w:szCs w:val="16"/>
              </w:rPr>
              <w:t>Die Angabe wird beim VMP NRW automatisiert beigestellt.</w:t>
            </w:r>
          </w:p>
        </w:tc>
      </w:tr>
    </w:tbl>
    <w:p w:rsidR="00A05460" w:rsidRPr="0099082B" w:rsidRDefault="00A05460" w:rsidP="00817429">
      <w:pPr>
        <w:ind w:firstLine="0"/>
        <w:jc w:val="left"/>
      </w:pPr>
    </w:p>
    <w:sectPr w:rsidR="00A05460" w:rsidRPr="0099082B" w:rsidSect="00201F16">
      <w:headerReference w:type="default" r:id="rId11"/>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204" w:rsidRDefault="00147204" w:rsidP="00B3223D">
      <w:pPr>
        <w:spacing w:after="0" w:line="240" w:lineRule="auto"/>
      </w:pPr>
      <w:r>
        <w:separator/>
      </w:r>
    </w:p>
  </w:endnote>
  <w:endnote w:type="continuationSeparator" w:id="0">
    <w:p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204" w:rsidRDefault="00147204" w:rsidP="00B3223D">
      <w:pPr>
        <w:spacing w:after="0" w:line="240" w:lineRule="auto"/>
      </w:pPr>
      <w:r>
        <w:separator/>
      </w:r>
    </w:p>
  </w:footnote>
  <w:footnote w:type="continuationSeparator" w:id="0">
    <w:p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14" w:rsidRPr="008E3725" w:rsidRDefault="008809BF" w:rsidP="00886A43">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Formular</w:t>
    </w:r>
    <w:r w:rsidR="0076482D">
      <w:rPr>
        <w:rFonts w:eastAsia="Times New Roman" w:cs="Arial"/>
        <w:szCs w:val="20"/>
        <w:lang w:eastAsia="de-DE"/>
      </w:rPr>
      <w:t xml:space="preserve"> 41</w:t>
    </w:r>
    <w:r w:rsidR="009B57E1">
      <w:rPr>
        <w:rFonts w:eastAsia="Times New Roman" w:cs="Arial"/>
        <w:szCs w:val="20"/>
        <w:lang w:eastAsia="de-DE"/>
      </w:rPr>
      <w:t>4</w:t>
    </w:r>
    <w:r w:rsidR="00BA34D9">
      <w:rPr>
        <w:rFonts w:eastAsia="Times New Roman" w:cs="Arial"/>
        <w:szCs w:val="20"/>
        <w:lang w:eastAsia="de-DE"/>
      </w:rPr>
      <w:t>a</w:t>
    </w:r>
    <w:r>
      <w:rPr>
        <w:rFonts w:eastAsia="Times New Roman" w:cs="Arial"/>
        <w:szCs w:val="20"/>
        <w:lang w:eastAsia="de-DE"/>
      </w:rPr>
      <w:t xml:space="preserve"> EU</w:t>
    </w:r>
  </w:p>
  <w:p w:rsidR="00392B14" w:rsidRPr="008E3725" w:rsidRDefault="008809BF" w:rsidP="00886A43">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04/2016</w:t>
    </w:r>
    <w:r w:rsidR="00392B14" w:rsidRPr="008E3725">
      <w:rPr>
        <w:rFonts w:eastAsia="Times New Roman" w:cs="Arial"/>
        <w:szCs w:val="20"/>
        <w:lang w:eastAsia="de-DE"/>
      </w:rPr>
      <w:tab/>
    </w:r>
    <w:r w:rsidR="00BA34D9">
      <w:rPr>
        <w:rFonts w:eastAsia="Times New Roman" w:cs="Arial"/>
        <w:szCs w:val="20"/>
        <w:lang w:eastAsia="de-DE"/>
      </w:rPr>
      <w:t xml:space="preserve">Erläuterungen </w:t>
    </w:r>
    <w:r w:rsidR="009B57E1">
      <w:rPr>
        <w:rFonts w:eastAsia="Times New Roman" w:cs="Arial"/>
        <w:szCs w:val="20"/>
        <w:lang w:eastAsia="de-DE"/>
      </w:rPr>
      <w:t>vergebene Aufträge</w:t>
    </w:r>
  </w:p>
  <w:p w:rsidR="00392B14" w:rsidRPr="008E3725" w:rsidRDefault="00392B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F0362"/>
    <w:multiLevelType w:val="hybridMultilevel"/>
    <w:tmpl w:val="36FCD9FC"/>
    <w:lvl w:ilvl="0" w:tplc="CB483B8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2"/>
  </w:num>
  <w:num w:numId="2">
    <w:abstractNumId w:val="6"/>
  </w:num>
  <w:num w:numId="3">
    <w:abstractNumId w:val="1"/>
  </w:num>
  <w:num w:numId="4">
    <w:abstractNumId w:val="6"/>
    <w:lvlOverride w:ilvl="0">
      <w:startOverride w:val="1"/>
    </w:lvlOverride>
  </w:num>
  <w:num w:numId="5">
    <w:abstractNumId w:val="6"/>
    <w:lvlOverride w:ilvl="0">
      <w:startOverride w:val="1"/>
    </w:lvlOverride>
  </w:num>
  <w:num w:numId="6">
    <w:abstractNumId w:val="12"/>
  </w:num>
  <w:num w:numId="7">
    <w:abstractNumId w:val="4"/>
  </w:num>
  <w:num w:numId="8">
    <w:abstractNumId w:val="5"/>
  </w:num>
  <w:num w:numId="9">
    <w:abstractNumId w:val="10"/>
  </w:num>
  <w:num w:numId="10">
    <w:abstractNumId w:val="7"/>
  </w:num>
  <w:num w:numId="11">
    <w:abstractNumId w:val="11"/>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659CF"/>
    <w:rsid w:val="00075AA3"/>
    <w:rsid w:val="00076066"/>
    <w:rsid w:val="0007702A"/>
    <w:rsid w:val="00124CE3"/>
    <w:rsid w:val="00142A43"/>
    <w:rsid w:val="00147204"/>
    <w:rsid w:val="0016700F"/>
    <w:rsid w:val="001B3C00"/>
    <w:rsid w:val="001F670F"/>
    <w:rsid w:val="00201F16"/>
    <w:rsid w:val="00216094"/>
    <w:rsid w:val="00233C49"/>
    <w:rsid w:val="002404AB"/>
    <w:rsid w:val="0026517C"/>
    <w:rsid w:val="00275109"/>
    <w:rsid w:val="00297CEA"/>
    <w:rsid w:val="002E471C"/>
    <w:rsid w:val="002E6E01"/>
    <w:rsid w:val="003333F2"/>
    <w:rsid w:val="00392B14"/>
    <w:rsid w:val="003D2DBB"/>
    <w:rsid w:val="00464150"/>
    <w:rsid w:val="00485628"/>
    <w:rsid w:val="00487791"/>
    <w:rsid w:val="00493D6A"/>
    <w:rsid w:val="004D160C"/>
    <w:rsid w:val="00500637"/>
    <w:rsid w:val="00545F2C"/>
    <w:rsid w:val="00547B27"/>
    <w:rsid w:val="0055106E"/>
    <w:rsid w:val="00553078"/>
    <w:rsid w:val="00570571"/>
    <w:rsid w:val="005737E6"/>
    <w:rsid w:val="005906C4"/>
    <w:rsid w:val="005A4C70"/>
    <w:rsid w:val="005C113E"/>
    <w:rsid w:val="005E6B2F"/>
    <w:rsid w:val="005F090E"/>
    <w:rsid w:val="00625952"/>
    <w:rsid w:val="0066703F"/>
    <w:rsid w:val="00677990"/>
    <w:rsid w:val="00690CFA"/>
    <w:rsid w:val="006A716E"/>
    <w:rsid w:val="006C3FCB"/>
    <w:rsid w:val="006C4AE5"/>
    <w:rsid w:val="006D4A00"/>
    <w:rsid w:val="006E2F30"/>
    <w:rsid w:val="00700904"/>
    <w:rsid w:val="00742DDD"/>
    <w:rsid w:val="0076482D"/>
    <w:rsid w:val="0076579F"/>
    <w:rsid w:val="00782973"/>
    <w:rsid w:val="007863ED"/>
    <w:rsid w:val="00805504"/>
    <w:rsid w:val="00817429"/>
    <w:rsid w:val="008466F0"/>
    <w:rsid w:val="00850E29"/>
    <w:rsid w:val="00860C7E"/>
    <w:rsid w:val="008809BF"/>
    <w:rsid w:val="00886A43"/>
    <w:rsid w:val="008A2FC9"/>
    <w:rsid w:val="008A45AB"/>
    <w:rsid w:val="008D7A48"/>
    <w:rsid w:val="008E3725"/>
    <w:rsid w:val="00900F3E"/>
    <w:rsid w:val="00954806"/>
    <w:rsid w:val="00955686"/>
    <w:rsid w:val="009868E4"/>
    <w:rsid w:val="0099082B"/>
    <w:rsid w:val="009B57E1"/>
    <w:rsid w:val="009E0F9C"/>
    <w:rsid w:val="00A0162B"/>
    <w:rsid w:val="00A05460"/>
    <w:rsid w:val="00A07CE9"/>
    <w:rsid w:val="00A25539"/>
    <w:rsid w:val="00AC0471"/>
    <w:rsid w:val="00AC3CCA"/>
    <w:rsid w:val="00AC4068"/>
    <w:rsid w:val="00B3223D"/>
    <w:rsid w:val="00B61FC9"/>
    <w:rsid w:val="00B7667B"/>
    <w:rsid w:val="00B85405"/>
    <w:rsid w:val="00B91A1F"/>
    <w:rsid w:val="00BA34D9"/>
    <w:rsid w:val="00C53C30"/>
    <w:rsid w:val="00C53CAA"/>
    <w:rsid w:val="00C54A33"/>
    <w:rsid w:val="00C80958"/>
    <w:rsid w:val="00CD6723"/>
    <w:rsid w:val="00D02426"/>
    <w:rsid w:val="00D05791"/>
    <w:rsid w:val="00D065A5"/>
    <w:rsid w:val="00D153FC"/>
    <w:rsid w:val="00D32707"/>
    <w:rsid w:val="00D4632A"/>
    <w:rsid w:val="00D56E64"/>
    <w:rsid w:val="00D630E2"/>
    <w:rsid w:val="00D7178E"/>
    <w:rsid w:val="00D93537"/>
    <w:rsid w:val="00D946FE"/>
    <w:rsid w:val="00D94A84"/>
    <w:rsid w:val="00DD471A"/>
    <w:rsid w:val="00DF6802"/>
    <w:rsid w:val="00E20BF6"/>
    <w:rsid w:val="00E247A0"/>
    <w:rsid w:val="00E354C7"/>
    <w:rsid w:val="00E704F4"/>
    <w:rsid w:val="00E84573"/>
    <w:rsid w:val="00E857FD"/>
    <w:rsid w:val="00E90673"/>
    <w:rsid w:val="00EB6F70"/>
    <w:rsid w:val="00F40C11"/>
    <w:rsid w:val="00F6643F"/>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380133199">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imap.ted.europa.eu/de/web/simap/cpv" TargetMode="External"/><Relationship Id="rId4" Type="http://schemas.microsoft.com/office/2007/relationships/stylesWithEffects" Target="stylesWithEffects.xml"/><Relationship Id="rId9" Type="http://schemas.openxmlformats.org/officeDocument/2006/relationships/hyperlink" Target="https://simap.ted.europa.eu/de/web/simap/nuts"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17881-C2AF-417C-A2A5-CB0898968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3579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Menssen, Katrin</cp:lastModifiedBy>
  <cp:revision>2</cp:revision>
  <dcterms:created xsi:type="dcterms:W3CDTF">2016-05-13T11:13:00Z</dcterms:created>
  <dcterms:modified xsi:type="dcterms:W3CDTF">2016-05-13T11:13:00Z</dcterms:modified>
</cp:coreProperties>
</file>