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Look w:val="01E0" w:firstRow="1" w:lastRow="1" w:firstColumn="1" w:lastColumn="1" w:noHBand="0" w:noVBand="0"/>
      </w:tblPr>
      <w:tblGrid>
        <w:gridCol w:w="5541"/>
        <w:gridCol w:w="2587"/>
        <w:gridCol w:w="1795"/>
      </w:tblGrid>
      <w:tr w:rsidR="001643EF" w:rsidRPr="001C55D1" w:rsidTr="00132642">
        <w:trPr>
          <w:trHeight w:val="284"/>
        </w:trPr>
        <w:tc>
          <w:tcPr>
            <w:tcW w:w="5541" w:type="dxa"/>
            <w:noWrap/>
            <w:tcMar>
              <w:top w:w="28" w:type="dxa"/>
              <w:left w:w="28" w:type="dxa"/>
              <w:bottom w:w="28" w:type="dxa"/>
              <w:right w:w="28" w:type="dxa"/>
            </w:tcMar>
            <w:vAlign w:val="center"/>
          </w:tcPr>
          <w:p w:rsidR="001643EF" w:rsidRPr="00187159" w:rsidRDefault="001643EF" w:rsidP="00DC2AC1">
            <w:pPr>
              <w:rPr>
                <w:sz w:val="16"/>
                <w:szCs w:val="16"/>
              </w:rPr>
            </w:pPr>
            <w:bookmarkStart w:id="0" w:name="_GoBack"/>
            <w:bookmarkEnd w:id="0"/>
          </w:p>
        </w:tc>
        <w:tc>
          <w:tcPr>
            <w:tcW w:w="4382" w:type="dxa"/>
            <w:gridSpan w:val="2"/>
            <w:tcBorders>
              <w:bottom w:val="single" w:sz="4" w:space="0" w:color="A6A6A6" w:themeColor="background1" w:themeShade="A6"/>
            </w:tcBorders>
            <w:noWrap/>
            <w:vAlign w:val="center"/>
          </w:tcPr>
          <w:p w:rsidR="001643EF" w:rsidRPr="001C55D1" w:rsidRDefault="001643EF" w:rsidP="00DC2AC1"/>
        </w:tc>
      </w:tr>
      <w:tr w:rsidR="001643EF" w:rsidRPr="001C55D1" w:rsidTr="00132642">
        <w:trPr>
          <w:trHeight w:val="284"/>
        </w:trPr>
        <w:tc>
          <w:tcPr>
            <w:tcW w:w="5541" w:type="dxa"/>
            <w:tcBorders>
              <w:right w:val="single" w:sz="4" w:space="0" w:color="A6A6A6" w:themeColor="background1" w:themeShade="A6"/>
            </w:tcBorders>
            <w:noWrap/>
            <w:tcMar>
              <w:top w:w="28" w:type="dxa"/>
              <w:left w:w="28" w:type="dxa"/>
              <w:bottom w:w="28" w:type="dxa"/>
              <w:right w:w="28" w:type="dxa"/>
            </w:tcMar>
            <w:vAlign w:val="center"/>
          </w:tcPr>
          <w:p w:rsidR="001643EF" w:rsidRPr="001C55D1" w:rsidRDefault="001643EF" w:rsidP="00DC2AC1"/>
        </w:tc>
        <w:tc>
          <w:tcPr>
            <w:tcW w:w="2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1643EF" w:rsidRPr="001C55D1" w:rsidRDefault="001643EF" w:rsidP="00DC2AC1">
            <w:r w:rsidRPr="001C55D1">
              <w:t>Vergabenummer</w:t>
            </w:r>
          </w:p>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1643EF" w:rsidRPr="001C55D1" w:rsidRDefault="001643EF" w:rsidP="00DC2AC1">
            <w:r>
              <w:t>Datum</w:t>
            </w:r>
          </w:p>
        </w:tc>
      </w:tr>
      <w:tr w:rsidR="001643EF" w:rsidRPr="001C55D1" w:rsidTr="00132642">
        <w:trPr>
          <w:trHeight w:val="284"/>
        </w:trPr>
        <w:tc>
          <w:tcPr>
            <w:tcW w:w="5541" w:type="dxa"/>
            <w:tcBorders>
              <w:right w:val="single" w:sz="4" w:space="0" w:color="A6A6A6" w:themeColor="background1" w:themeShade="A6"/>
            </w:tcBorders>
            <w:noWrap/>
            <w:tcMar>
              <w:top w:w="28" w:type="dxa"/>
              <w:left w:w="28" w:type="dxa"/>
              <w:bottom w:w="28" w:type="dxa"/>
              <w:right w:w="28" w:type="dxa"/>
            </w:tcMar>
            <w:vAlign w:val="center"/>
          </w:tcPr>
          <w:p w:rsidR="001643EF" w:rsidRPr="001C55D1" w:rsidRDefault="001643EF" w:rsidP="00DC2AC1"/>
        </w:tc>
        <w:tc>
          <w:tcPr>
            <w:tcW w:w="2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1643EF" w:rsidRPr="001C55D1" w:rsidRDefault="001643EF" w:rsidP="00DC2AC1"/>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1643EF" w:rsidRPr="001C55D1" w:rsidRDefault="001643EF" w:rsidP="00DC2AC1"/>
        </w:tc>
      </w:tr>
      <w:tr w:rsidR="001643EF" w:rsidRPr="001C55D1" w:rsidTr="00132642">
        <w:trPr>
          <w:trHeight w:val="284"/>
        </w:trPr>
        <w:tc>
          <w:tcPr>
            <w:tcW w:w="5541" w:type="dxa"/>
            <w:noWrap/>
            <w:tcMar>
              <w:top w:w="28" w:type="dxa"/>
              <w:left w:w="28" w:type="dxa"/>
              <w:bottom w:w="28" w:type="dxa"/>
              <w:right w:w="28" w:type="dxa"/>
            </w:tcMar>
            <w:vAlign w:val="center"/>
          </w:tcPr>
          <w:p w:rsidR="001643EF" w:rsidRPr="001C55D1" w:rsidRDefault="001643EF" w:rsidP="00DC2AC1">
            <w:r w:rsidRPr="001C55D1">
              <w:t>Baumaßnahme</w:t>
            </w:r>
          </w:p>
        </w:tc>
        <w:tc>
          <w:tcPr>
            <w:tcW w:w="4382" w:type="dxa"/>
            <w:gridSpan w:val="2"/>
            <w:tcBorders>
              <w:top w:val="single" w:sz="4" w:space="0" w:color="A6A6A6" w:themeColor="background1" w:themeShade="A6"/>
            </w:tcBorders>
            <w:noWrap/>
            <w:vAlign w:val="center"/>
          </w:tcPr>
          <w:p w:rsidR="001643EF" w:rsidRPr="001C55D1" w:rsidRDefault="001643EF" w:rsidP="00DC2AC1"/>
        </w:tc>
      </w:tr>
      <w:tr w:rsidR="001643EF" w:rsidRPr="001C55D1" w:rsidTr="00132642">
        <w:trPr>
          <w:trHeight w:val="284"/>
        </w:trPr>
        <w:tc>
          <w:tcPr>
            <w:tcW w:w="9923" w:type="dxa"/>
            <w:gridSpan w:val="3"/>
            <w:tcBorders>
              <w:bottom w:val="single" w:sz="4" w:space="0" w:color="A6A6A6" w:themeColor="background1" w:themeShade="A6"/>
            </w:tcBorders>
            <w:noWrap/>
            <w:tcMar>
              <w:top w:w="28" w:type="dxa"/>
              <w:left w:w="28" w:type="dxa"/>
              <w:bottom w:w="28" w:type="dxa"/>
              <w:right w:w="28" w:type="dxa"/>
            </w:tcMar>
            <w:vAlign w:val="center"/>
          </w:tcPr>
          <w:p w:rsidR="001643EF" w:rsidRPr="001C55D1" w:rsidRDefault="001643EF" w:rsidP="00DC2AC1"/>
        </w:tc>
      </w:tr>
      <w:tr w:rsidR="001643EF" w:rsidRPr="001C55D1" w:rsidTr="00132642">
        <w:trPr>
          <w:trHeight w:val="284"/>
        </w:trPr>
        <w:tc>
          <w:tcPr>
            <w:tcW w:w="9923" w:type="dxa"/>
            <w:gridSpan w:val="3"/>
            <w:tcBorders>
              <w:top w:val="single" w:sz="4" w:space="0" w:color="A6A6A6" w:themeColor="background1" w:themeShade="A6"/>
              <w:bottom w:val="single" w:sz="4" w:space="0" w:color="A6A6A6" w:themeColor="background1" w:themeShade="A6"/>
            </w:tcBorders>
            <w:noWrap/>
            <w:tcMar>
              <w:top w:w="28" w:type="dxa"/>
              <w:left w:w="28" w:type="dxa"/>
              <w:bottom w:w="28" w:type="dxa"/>
              <w:right w:w="28" w:type="dxa"/>
            </w:tcMar>
            <w:vAlign w:val="center"/>
          </w:tcPr>
          <w:p w:rsidR="001643EF" w:rsidRPr="001C55D1" w:rsidRDefault="001643EF" w:rsidP="00DC2AC1"/>
        </w:tc>
      </w:tr>
      <w:tr w:rsidR="001643EF" w:rsidRPr="001C55D1" w:rsidTr="00132642">
        <w:trPr>
          <w:trHeight w:val="397"/>
        </w:trPr>
        <w:tc>
          <w:tcPr>
            <w:tcW w:w="5541" w:type="dxa"/>
            <w:tcBorders>
              <w:top w:val="single" w:sz="4" w:space="0" w:color="A6A6A6" w:themeColor="background1" w:themeShade="A6"/>
            </w:tcBorders>
            <w:noWrap/>
            <w:tcMar>
              <w:top w:w="28" w:type="dxa"/>
              <w:left w:w="28" w:type="dxa"/>
              <w:bottom w:w="28" w:type="dxa"/>
              <w:right w:w="28" w:type="dxa"/>
            </w:tcMar>
            <w:vAlign w:val="center"/>
          </w:tcPr>
          <w:p w:rsidR="001643EF" w:rsidRPr="001C55D1" w:rsidRDefault="004962C0" w:rsidP="00DC2AC1">
            <w:r>
              <w:t>Leistung</w:t>
            </w:r>
          </w:p>
        </w:tc>
        <w:tc>
          <w:tcPr>
            <w:tcW w:w="4382" w:type="dxa"/>
            <w:gridSpan w:val="2"/>
            <w:tcBorders>
              <w:top w:val="single" w:sz="4" w:space="0" w:color="A6A6A6" w:themeColor="background1" w:themeShade="A6"/>
            </w:tcBorders>
            <w:noWrap/>
            <w:vAlign w:val="center"/>
          </w:tcPr>
          <w:p w:rsidR="001643EF" w:rsidRPr="001C55D1" w:rsidRDefault="001643EF" w:rsidP="00DC2AC1"/>
        </w:tc>
      </w:tr>
      <w:tr w:rsidR="001643EF" w:rsidRPr="001C55D1" w:rsidTr="00132642">
        <w:trPr>
          <w:trHeight w:val="284"/>
        </w:trPr>
        <w:tc>
          <w:tcPr>
            <w:tcW w:w="9923" w:type="dxa"/>
            <w:gridSpan w:val="3"/>
            <w:tcBorders>
              <w:bottom w:val="single" w:sz="4" w:space="0" w:color="A6A6A6" w:themeColor="background1" w:themeShade="A6"/>
            </w:tcBorders>
            <w:noWrap/>
            <w:tcMar>
              <w:top w:w="28" w:type="dxa"/>
              <w:left w:w="28" w:type="dxa"/>
              <w:bottom w:w="28" w:type="dxa"/>
              <w:right w:w="28" w:type="dxa"/>
            </w:tcMar>
            <w:vAlign w:val="center"/>
          </w:tcPr>
          <w:p w:rsidR="001643EF" w:rsidRPr="001C55D1" w:rsidRDefault="001643EF" w:rsidP="00DC2AC1"/>
        </w:tc>
      </w:tr>
    </w:tbl>
    <w:p w:rsidR="001643EF" w:rsidRPr="001643EF" w:rsidRDefault="001643EF" w:rsidP="001643EF"/>
    <w:p w:rsidR="001643EF" w:rsidRPr="001643EF" w:rsidRDefault="001643EF" w:rsidP="001643EF">
      <w:pPr>
        <w:rPr>
          <w:b/>
        </w:rPr>
      </w:pPr>
    </w:p>
    <w:p w:rsidR="001643EF" w:rsidRDefault="001643EF" w:rsidP="001643EF">
      <w:pPr>
        <w:rPr>
          <w:b/>
        </w:rPr>
      </w:pPr>
      <w:r w:rsidRPr="001643EF">
        <w:rPr>
          <w:b/>
        </w:rPr>
        <w:t>Verzeichnis für Stoffpreisgleitklausel</w:t>
      </w:r>
      <w:r w:rsidR="00892CB2">
        <w:rPr>
          <w:b/>
        </w:rPr>
        <w:t xml:space="preserve"> Nichteisenmetalle (NEM)</w:t>
      </w:r>
    </w:p>
    <w:p w:rsidR="006A3552" w:rsidRDefault="006A3552" w:rsidP="001643EF">
      <w:pPr>
        <w:rPr>
          <w:b/>
        </w:rPr>
      </w:pPr>
    </w:p>
    <w:tbl>
      <w:tblPr>
        <w:tblW w:w="9993" w:type="dxa"/>
        <w:tblBorders>
          <w:bottom w:val="single" w:sz="4" w:space="0" w:color="A6A6A6" w:themeColor="background1" w:themeShade="A6"/>
        </w:tblBorders>
        <w:tblLayout w:type="fixed"/>
        <w:tblCellMar>
          <w:top w:w="57" w:type="dxa"/>
          <w:left w:w="70" w:type="dxa"/>
          <w:right w:w="70" w:type="dxa"/>
        </w:tblCellMar>
        <w:tblLook w:val="0000" w:firstRow="0" w:lastRow="0" w:firstColumn="0" w:lastColumn="0" w:noHBand="0" w:noVBand="0"/>
      </w:tblPr>
      <w:tblGrid>
        <w:gridCol w:w="354"/>
        <w:gridCol w:w="9639"/>
      </w:tblGrid>
      <w:tr w:rsidR="002563CC" w:rsidRPr="00892CB2" w:rsidTr="00745D57">
        <w:trPr>
          <w:trHeight w:val="665"/>
        </w:trPr>
        <w:tc>
          <w:tcPr>
            <w:tcW w:w="9993" w:type="dxa"/>
            <w:gridSpan w:val="2"/>
          </w:tcPr>
          <w:p w:rsidR="002563CC" w:rsidRDefault="002563CC" w:rsidP="00BC35EE">
            <w:pPr>
              <w:spacing w:after="120"/>
              <w:rPr>
                <w:rFonts w:cs="Arial"/>
                <w:szCs w:val="22"/>
              </w:rPr>
            </w:pPr>
            <w:r w:rsidRPr="00BC2CC1">
              <w:rPr>
                <w:rFonts w:cs="Arial"/>
                <w:szCs w:val="22"/>
              </w:rPr>
              <w:t>F</w:t>
            </w:r>
            <w:r>
              <w:rPr>
                <w:rFonts w:cs="Arial"/>
                <w:szCs w:val="22"/>
              </w:rPr>
              <w:t>ür die nachstehend aufgeführten Stoffe</w:t>
            </w:r>
            <w:r w:rsidRPr="00BC2CC1">
              <w:rPr>
                <w:rFonts w:cs="Arial"/>
                <w:szCs w:val="22"/>
              </w:rPr>
              <w:t xml:space="preserve">, begrenzt auf die in den in Spalte 2 genannten Teilleistungen (OZ) verwendeten Stoffe, </w:t>
            </w:r>
            <w:r>
              <w:rPr>
                <w:rFonts w:cs="Arial"/>
                <w:szCs w:val="22"/>
              </w:rPr>
              <w:t>erfolgt die Abrechnung</w:t>
            </w:r>
            <w:r w:rsidRPr="00BC2CC1">
              <w:rPr>
                <w:rFonts w:cs="Arial"/>
                <w:szCs w:val="22"/>
              </w:rPr>
              <w:t xml:space="preserve"> gemäß der "Stoffpreisgleitklausel</w:t>
            </w:r>
            <w:r>
              <w:rPr>
                <w:rFonts w:cs="Arial"/>
                <w:szCs w:val="22"/>
              </w:rPr>
              <w:t xml:space="preserve"> Nichteisenmetalle</w:t>
            </w:r>
            <w:r w:rsidRPr="00BC2CC1">
              <w:rPr>
                <w:rFonts w:cs="Arial"/>
                <w:szCs w:val="22"/>
              </w:rPr>
              <w:t>"</w:t>
            </w:r>
            <w:r>
              <w:rPr>
                <w:rFonts w:cs="Arial"/>
                <w:szCs w:val="22"/>
              </w:rPr>
              <w:t>.</w:t>
            </w:r>
          </w:p>
          <w:p w:rsidR="002563CC" w:rsidRPr="00892CB2" w:rsidRDefault="002563CC" w:rsidP="002563CC">
            <w:pPr>
              <w:keepNext w:val="0"/>
              <w:spacing w:after="60"/>
            </w:pPr>
            <w:r w:rsidRPr="0042698D">
              <w:rPr>
                <w:szCs w:val="24"/>
              </w:rPr>
              <w:t>Die für den Abrechnungspreis erforderlichen NE-Metallgewichte werden</w:t>
            </w:r>
            <w:r>
              <w:rPr>
                <w:szCs w:val="24"/>
              </w:rPr>
              <w:t xml:space="preserve"> </w:t>
            </w:r>
            <w:r w:rsidRPr="0042698D">
              <w:rPr>
                <w:szCs w:val="24"/>
              </w:rPr>
              <w:t>aus den im Leistungsverzeichnis an</w:t>
            </w:r>
            <w:r>
              <w:rPr>
                <w:szCs w:val="24"/>
              </w:rPr>
              <w:softHyphen/>
            </w:r>
            <w:r w:rsidRPr="0042698D">
              <w:rPr>
                <w:szCs w:val="24"/>
              </w:rPr>
              <w:t>gegebenen NE-Zahlen ermittelt. Diese entsprechen dem Metallgewicht in Kilogramm, bezogen auf</w:t>
            </w:r>
          </w:p>
        </w:tc>
      </w:tr>
      <w:tr w:rsidR="00101CB6" w:rsidRPr="00892CB2" w:rsidTr="00D1754C">
        <w:trPr>
          <w:trHeight w:val="284"/>
        </w:trPr>
        <w:sdt>
          <w:sdtPr>
            <w:id w:val="986061345"/>
            <w14:checkbox>
              <w14:checked w14:val="0"/>
              <w14:checkedState w14:val="2612" w14:font="MS Gothic"/>
              <w14:uncheckedState w14:val="2610" w14:font="MS Gothic"/>
            </w14:checkbox>
          </w:sdtPr>
          <w:sdtEndPr/>
          <w:sdtContent>
            <w:tc>
              <w:tcPr>
                <w:tcW w:w="354" w:type="dxa"/>
              </w:tcPr>
              <w:p w:rsidR="00101CB6" w:rsidRDefault="00101CB6" w:rsidP="00D1754C">
                <w:pPr>
                  <w:jc w:val="center"/>
                </w:pPr>
                <w:r>
                  <w:rPr>
                    <w:rFonts w:ascii="MS Gothic" w:eastAsia="MS Gothic" w:hAnsi="MS Gothic" w:hint="eastAsia"/>
                  </w:rPr>
                  <w:t>☐</w:t>
                </w:r>
              </w:p>
            </w:tc>
          </w:sdtContent>
        </w:sdt>
        <w:tc>
          <w:tcPr>
            <w:tcW w:w="9639" w:type="dxa"/>
            <w:vAlign w:val="center"/>
          </w:tcPr>
          <w:p w:rsidR="00101CB6" w:rsidRPr="00BC2CC1" w:rsidRDefault="00101CB6" w:rsidP="002563CC">
            <w:pPr>
              <w:keepNext w:val="0"/>
              <w:spacing w:after="60"/>
              <w:jc w:val="left"/>
              <w:rPr>
                <w:rFonts w:cs="Arial"/>
                <w:szCs w:val="22"/>
              </w:rPr>
            </w:pPr>
            <w:r w:rsidRPr="00A22EF3">
              <w:rPr>
                <w:szCs w:val="24"/>
              </w:rPr>
              <w:t>100</w:t>
            </w:r>
            <w:r>
              <w:rPr>
                <w:szCs w:val="24"/>
              </w:rPr>
              <w:t>0 m Leitungen, Kabel oder Draht</w:t>
            </w:r>
          </w:p>
        </w:tc>
      </w:tr>
      <w:tr w:rsidR="00101CB6" w:rsidRPr="00892CB2" w:rsidTr="00D1754C">
        <w:trPr>
          <w:trHeight w:val="284"/>
        </w:trPr>
        <w:sdt>
          <w:sdtPr>
            <w:id w:val="1536687219"/>
            <w14:checkbox>
              <w14:checked w14:val="0"/>
              <w14:checkedState w14:val="2612" w14:font="MS Gothic"/>
              <w14:uncheckedState w14:val="2610" w14:font="MS Gothic"/>
            </w14:checkbox>
          </w:sdtPr>
          <w:sdtEndPr/>
          <w:sdtContent>
            <w:tc>
              <w:tcPr>
                <w:tcW w:w="354" w:type="dxa"/>
                <w:tcBorders>
                  <w:bottom w:val="nil"/>
                </w:tcBorders>
              </w:tcPr>
              <w:p w:rsidR="00101CB6" w:rsidRDefault="00101CB6" w:rsidP="00D1754C">
                <w:pPr>
                  <w:jc w:val="center"/>
                </w:pPr>
                <w:r>
                  <w:rPr>
                    <w:rFonts w:ascii="MS Gothic" w:eastAsia="MS Gothic" w:hAnsi="MS Gothic" w:hint="eastAsia"/>
                  </w:rPr>
                  <w:t>☐</w:t>
                </w:r>
              </w:p>
            </w:tc>
          </w:sdtContent>
        </w:sdt>
        <w:tc>
          <w:tcPr>
            <w:tcW w:w="9639" w:type="dxa"/>
            <w:vAlign w:val="center"/>
          </w:tcPr>
          <w:p w:rsidR="00101CB6" w:rsidRPr="00BC2CC1" w:rsidRDefault="00101CB6" w:rsidP="002563CC">
            <w:pPr>
              <w:spacing w:after="120"/>
              <w:jc w:val="left"/>
              <w:rPr>
                <w:rFonts w:cs="Arial"/>
                <w:szCs w:val="22"/>
              </w:rPr>
            </w:pPr>
            <w:r w:rsidRPr="00A22EF3">
              <w:rPr>
                <w:szCs w:val="24"/>
              </w:rPr>
              <w:t>1 m</w:t>
            </w:r>
            <w:r>
              <w:rPr>
                <w:szCs w:val="24"/>
              </w:rPr>
              <w:t xml:space="preserve"> Sammelschiene</w:t>
            </w:r>
          </w:p>
        </w:tc>
      </w:tr>
      <w:tr w:rsidR="00101CB6" w:rsidRPr="00892CB2" w:rsidTr="00D1754C">
        <w:trPr>
          <w:trHeight w:val="284"/>
        </w:trPr>
        <w:sdt>
          <w:sdtPr>
            <w:id w:val="955834759"/>
            <w14:checkbox>
              <w14:checked w14:val="0"/>
              <w14:checkedState w14:val="2612" w14:font="MS Gothic"/>
              <w14:uncheckedState w14:val="2610" w14:font="MS Gothic"/>
            </w14:checkbox>
          </w:sdtPr>
          <w:sdtEndPr/>
          <w:sdtContent>
            <w:tc>
              <w:tcPr>
                <w:tcW w:w="354" w:type="dxa"/>
                <w:tcBorders>
                  <w:bottom w:val="nil"/>
                </w:tcBorders>
              </w:tcPr>
              <w:p w:rsidR="00101CB6" w:rsidRDefault="00101CB6" w:rsidP="00D1754C">
                <w:pPr>
                  <w:jc w:val="center"/>
                </w:pPr>
                <w:r>
                  <w:rPr>
                    <w:rFonts w:ascii="MS Gothic" w:eastAsia="MS Gothic" w:hAnsi="MS Gothic" w:hint="eastAsia"/>
                  </w:rPr>
                  <w:t>☐</w:t>
                </w:r>
              </w:p>
            </w:tc>
          </w:sdtContent>
        </w:sdt>
        <w:tc>
          <w:tcPr>
            <w:tcW w:w="9639" w:type="dxa"/>
            <w:vAlign w:val="center"/>
          </w:tcPr>
          <w:p w:rsidR="00101CB6" w:rsidRPr="00BC2CC1" w:rsidRDefault="00101CB6" w:rsidP="002563CC">
            <w:pPr>
              <w:spacing w:after="120"/>
              <w:jc w:val="left"/>
              <w:rPr>
                <w:rFonts w:cs="Arial"/>
                <w:szCs w:val="22"/>
              </w:rPr>
            </w:pPr>
          </w:p>
        </w:tc>
      </w:tr>
    </w:tbl>
    <w:p w:rsidR="00BC35EE" w:rsidRDefault="00BC35EE"/>
    <w:tbl>
      <w:tblPr>
        <w:tblStyle w:val="Tabellenraster"/>
        <w:tblW w:w="0" w:type="auto"/>
        <w:tblLayout w:type="fixed"/>
        <w:tblLook w:val="04A0" w:firstRow="1" w:lastRow="0" w:firstColumn="1" w:lastColumn="0" w:noHBand="0" w:noVBand="1"/>
      </w:tblPr>
      <w:tblGrid>
        <w:gridCol w:w="3369"/>
        <w:gridCol w:w="425"/>
        <w:gridCol w:w="2693"/>
        <w:gridCol w:w="851"/>
        <w:gridCol w:w="283"/>
        <w:gridCol w:w="1276"/>
        <w:gridCol w:w="283"/>
        <w:gridCol w:w="711"/>
      </w:tblGrid>
      <w:tr w:rsidR="00F85132" w:rsidTr="00F347E3">
        <w:trPr>
          <w:trHeight w:val="215"/>
        </w:trPr>
        <w:tc>
          <w:tcPr>
            <w:tcW w:w="336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132" w:rsidRDefault="00F85132" w:rsidP="00BF68C7">
            <w:pPr>
              <w:jc w:val="center"/>
            </w:pPr>
            <w:r>
              <w:t>Stoffe</w:t>
            </w:r>
          </w:p>
        </w:tc>
        <w:tc>
          <w:tcPr>
            <w:tcW w:w="3118"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F85132" w:rsidRDefault="00F85132" w:rsidP="00F85132">
            <w:pPr>
              <w:jc w:val="center"/>
            </w:pPr>
            <w:r>
              <w:t xml:space="preserve">Verwendung bei </w:t>
            </w:r>
          </w:p>
        </w:tc>
        <w:tc>
          <w:tcPr>
            <w:tcW w:w="3404" w:type="dxa"/>
            <w:gridSpan w:val="5"/>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F85132" w:rsidRDefault="00F85132" w:rsidP="002563CC">
            <w:pPr>
              <w:jc w:val="center"/>
            </w:pPr>
            <w:r>
              <w:t xml:space="preserve">Basiswert </w:t>
            </w:r>
          </w:p>
        </w:tc>
      </w:tr>
      <w:tr w:rsidR="00051851" w:rsidTr="001F579D">
        <w:trPr>
          <w:trHeight w:val="284"/>
        </w:trPr>
        <w:tc>
          <w:tcPr>
            <w:tcW w:w="336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51851" w:rsidRDefault="00051851" w:rsidP="00BF68C7">
            <w:pPr>
              <w:jc w:val="center"/>
            </w:pPr>
          </w:p>
        </w:tc>
        <w:sdt>
          <w:sdtPr>
            <w:id w:val="-61326880"/>
            <w14:checkbox>
              <w14:checked w14:val="0"/>
              <w14:checkedState w14:val="2612" w14:font="MS Gothic"/>
              <w14:uncheckedState w14:val="2610" w14:font="MS Gothic"/>
            </w14:checkbox>
          </w:sdtPr>
          <w:sdtEndPr/>
          <w:sdtContent>
            <w:tc>
              <w:tcPr>
                <w:tcW w:w="425" w:type="dxa"/>
                <w:tcBorders>
                  <w:top w:val="nil"/>
                  <w:left w:val="single" w:sz="4" w:space="0" w:color="A6A6A6" w:themeColor="background1" w:themeShade="A6"/>
                  <w:bottom w:val="nil"/>
                  <w:right w:val="nil"/>
                </w:tcBorders>
              </w:tcPr>
              <w:p w:rsidR="00051851" w:rsidRDefault="00051851" w:rsidP="00BF68C7">
                <w:pPr>
                  <w:jc w:val="center"/>
                </w:pPr>
                <w:r>
                  <w:rPr>
                    <w:rFonts w:ascii="MS Gothic" w:eastAsia="MS Gothic" w:hAnsi="MS Gothic" w:hint="eastAsia"/>
                  </w:rPr>
                  <w:t>☐</w:t>
                </w:r>
              </w:p>
            </w:tc>
          </w:sdtContent>
        </w:sdt>
        <w:tc>
          <w:tcPr>
            <w:tcW w:w="2693" w:type="dxa"/>
            <w:tcBorders>
              <w:top w:val="nil"/>
              <w:left w:val="nil"/>
              <w:bottom w:val="nil"/>
              <w:right w:val="single" w:sz="4" w:space="0" w:color="A6A6A6" w:themeColor="background1" w:themeShade="A6"/>
            </w:tcBorders>
          </w:tcPr>
          <w:p w:rsidR="00051851" w:rsidRDefault="00051851" w:rsidP="00745D57">
            <w:pPr>
              <w:jc w:val="left"/>
            </w:pPr>
            <w:r>
              <w:t>folgenden Positionen (OZ)</w:t>
            </w:r>
          </w:p>
        </w:tc>
        <w:tc>
          <w:tcPr>
            <w:tcW w:w="3404" w:type="dxa"/>
            <w:gridSpan w:val="5"/>
            <w:tcBorders>
              <w:top w:val="nil"/>
              <w:left w:val="single" w:sz="4" w:space="0" w:color="A6A6A6" w:themeColor="background1" w:themeShade="A6"/>
              <w:bottom w:val="nil"/>
              <w:right w:val="single" w:sz="4" w:space="0" w:color="A6A6A6" w:themeColor="background1" w:themeShade="A6"/>
            </w:tcBorders>
            <w:vAlign w:val="center"/>
          </w:tcPr>
          <w:p w:rsidR="00051851" w:rsidRDefault="00051851" w:rsidP="00BF68C7">
            <w:pPr>
              <w:jc w:val="center"/>
            </w:pPr>
          </w:p>
        </w:tc>
      </w:tr>
      <w:tr w:rsidR="00F85132" w:rsidTr="00F347E3">
        <w:trPr>
          <w:trHeight w:val="104"/>
        </w:trPr>
        <w:tc>
          <w:tcPr>
            <w:tcW w:w="336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132" w:rsidRDefault="00F85132" w:rsidP="00BF68C7">
            <w:pPr>
              <w:jc w:val="center"/>
            </w:pPr>
          </w:p>
        </w:tc>
        <w:sdt>
          <w:sdtPr>
            <w:id w:val="-1570722443"/>
            <w14:checkbox>
              <w14:checked w14:val="0"/>
              <w14:checkedState w14:val="2612" w14:font="MS Gothic"/>
              <w14:uncheckedState w14:val="2610" w14:font="MS Gothic"/>
            </w14:checkbox>
          </w:sdtPr>
          <w:sdtEndPr/>
          <w:sdtContent>
            <w:tc>
              <w:tcPr>
                <w:tcW w:w="425" w:type="dxa"/>
                <w:vMerge w:val="restart"/>
                <w:tcBorders>
                  <w:top w:val="nil"/>
                  <w:left w:val="single" w:sz="4" w:space="0" w:color="A6A6A6" w:themeColor="background1" w:themeShade="A6"/>
                  <w:bottom w:val="single" w:sz="4" w:space="0" w:color="A6A6A6" w:themeColor="background1" w:themeShade="A6"/>
                  <w:right w:val="nil"/>
                </w:tcBorders>
              </w:tcPr>
              <w:p w:rsidR="00F85132" w:rsidRDefault="00101CB6" w:rsidP="00BF68C7">
                <w:pPr>
                  <w:jc w:val="center"/>
                </w:pPr>
                <w:r>
                  <w:rPr>
                    <w:rFonts w:ascii="MS Gothic" w:eastAsia="MS Gothic" w:hAnsi="MS Gothic" w:hint="eastAsia"/>
                  </w:rPr>
                  <w:t>☐</w:t>
                </w:r>
              </w:p>
            </w:tc>
          </w:sdtContent>
        </w:sdt>
        <w:tc>
          <w:tcPr>
            <w:tcW w:w="2693" w:type="dxa"/>
            <w:vMerge w:val="restart"/>
            <w:tcBorders>
              <w:top w:val="nil"/>
              <w:left w:val="nil"/>
              <w:bottom w:val="single" w:sz="4" w:space="0" w:color="A6A6A6" w:themeColor="background1" w:themeShade="A6"/>
              <w:right w:val="single" w:sz="4" w:space="0" w:color="A6A6A6" w:themeColor="background1" w:themeShade="A6"/>
            </w:tcBorders>
          </w:tcPr>
          <w:p w:rsidR="00F85132" w:rsidRDefault="00AC02E8" w:rsidP="00AC6CC9">
            <w:pPr>
              <w:jc w:val="left"/>
            </w:pPr>
            <w:r>
              <w:t>allen Positionen (OZ), in denen NE-Metallgewichte angegeben sind</w:t>
            </w:r>
          </w:p>
        </w:tc>
        <w:tc>
          <w:tcPr>
            <w:tcW w:w="3404" w:type="dxa"/>
            <w:gridSpan w:val="5"/>
            <w:tcBorders>
              <w:top w:val="nil"/>
              <w:left w:val="single" w:sz="4" w:space="0" w:color="A6A6A6" w:themeColor="background1" w:themeShade="A6"/>
              <w:bottom w:val="nil"/>
              <w:right w:val="single" w:sz="4" w:space="0" w:color="A6A6A6" w:themeColor="background1" w:themeShade="A6"/>
            </w:tcBorders>
          </w:tcPr>
          <w:p w:rsidR="00F85132" w:rsidRDefault="00F85132" w:rsidP="00BF68C7">
            <w:pPr>
              <w:jc w:val="center"/>
            </w:pPr>
            <w:r>
              <w:t>zum Zeitpunkt</w:t>
            </w:r>
          </w:p>
        </w:tc>
      </w:tr>
      <w:tr w:rsidR="00F85132" w:rsidTr="00F347E3">
        <w:trPr>
          <w:trHeight w:val="146"/>
        </w:trPr>
        <w:tc>
          <w:tcPr>
            <w:tcW w:w="336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132" w:rsidRDefault="00F85132" w:rsidP="00BF68C7">
            <w:pPr>
              <w:jc w:val="center"/>
            </w:pPr>
          </w:p>
        </w:tc>
        <w:tc>
          <w:tcPr>
            <w:tcW w:w="42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F85132" w:rsidRDefault="00F85132" w:rsidP="00BF68C7">
            <w:pPr>
              <w:jc w:val="center"/>
            </w:pPr>
          </w:p>
        </w:tc>
        <w:tc>
          <w:tcPr>
            <w:tcW w:w="2693" w:type="dxa"/>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F85132" w:rsidRDefault="00F85132" w:rsidP="00BF68C7">
            <w:pPr>
              <w:jc w:val="center"/>
            </w:pPr>
          </w:p>
        </w:tc>
        <w:tc>
          <w:tcPr>
            <w:tcW w:w="851" w:type="dxa"/>
            <w:tcBorders>
              <w:top w:val="nil"/>
              <w:left w:val="single" w:sz="4" w:space="0" w:color="A6A6A6" w:themeColor="background1" w:themeShade="A6"/>
              <w:bottom w:val="nil"/>
              <w:right w:val="nil"/>
            </w:tcBorders>
          </w:tcPr>
          <w:p w:rsidR="00F85132" w:rsidRDefault="00F85132" w:rsidP="00BF68C7">
            <w:pPr>
              <w:jc w:val="center"/>
            </w:pPr>
          </w:p>
        </w:tc>
        <w:tc>
          <w:tcPr>
            <w:tcW w:w="1842" w:type="dxa"/>
            <w:gridSpan w:val="3"/>
            <w:tcBorders>
              <w:top w:val="nil"/>
              <w:left w:val="nil"/>
              <w:bottom w:val="single" w:sz="4" w:space="0" w:color="A6A6A6" w:themeColor="background1" w:themeShade="A6"/>
              <w:right w:val="nil"/>
            </w:tcBorders>
          </w:tcPr>
          <w:p w:rsidR="00F85132" w:rsidRDefault="00F85132" w:rsidP="00BF68C7">
            <w:pPr>
              <w:jc w:val="center"/>
            </w:pPr>
          </w:p>
        </w:tc>
        <w:tc>
          <w:tcPr>
            <w:tcW w:w="711" w:type="dxa"/>
            <w:tcBorders>
              <w:top w:val="nil"/>
              <w:left w:val="nil"/>
              <w:bottom w:val="nil"/>
              <w:right w:val="single" w:sz="4" w:space="0" w:color="A6A6A6" w:themeColor="background1" w:themeShade="A6"/>
            </w:tcBorders>
          </w:tcPr>
          <w:p w:rsidR="00F85132" w:rsidRDefault="00F85132" w:rsidP="00BF68C7">
            <w:pPr>
              <w:jc w:val="center"/>
            </w:pPr>
          </w:p>
        </w:tc>
      </w:tr>
      <w:tr w:rsidR="00F85132" w:rsidTr="00F347E3">
        <w:trPr>
          <w:trHeight w:val="145"/>
        </w:trPr>
        <w:tc>
          <w:tcPr>
            <w:tcW w:w="336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132" w:rsidRDefault="00F85132" w:rsidP="00BF68C7">
            <w:pPr>
              <w:jc w:val="center"/>
            </w:pPr>
          </w:p>
        </w:tc>
        <w:tc>
          <w:tcPr>
            <w:tcW w:w="42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F85132" w:rsidRDefault="00F85132" w:rsidP="00BF68C7">
            <w:pPr>
              <w:jc w:val="center"/>
            </w:pPr>
          </w:p>
        </w:tc>
        <w:tc>
          <w:tcPr>
            <w:tcW w:w="2693" w:type="dxa"/>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F85132" w:rsidRDefault="00F85132" w:rsidP="00BF68C7">
            <w:pPr>
              <w:jc w:val="center"/>
            </w:pPr>
          </w:p>
        </w:tc>
        <w:tc>
          <w:tcPr>
            <w:tcW w:w="3404" w:type="dxa"/>
            <w:gridSpan w:val="5"/>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85132" w:rsidRDefault="00F85132" w:rsidP="00BF68C7">
            <w:pPr>
              <w:jc w:val="center"/>
            </w:pPr>
            <w:r>
              <w:t>[MM/JJJJ]</w:t>
            </w:r>
          </w:p>
        </w:tc>
      </w:tr>
      <w:tr w:rsidR="005B3E16" w:rsidTr="00E22381">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3E16" w:rsidRDefault="00BF68C7" w:rsidP="00BF68C7">
            <w:pPr>
              <w:jc w:val="center"/>
            </w:pPr>
            <w:r>
              <w:t>1</w:t>
            </w:r>
          </w:p>
        </w:tc>
        <w:tc>
          <w:tcPr>
            <w:tcW w:w="31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3E16" w:rsidRDefault="00BF68C7" w:rsidP="00BF68C7">
            <w:pPr>
              <w:jc w:val="center"/>
            </w:pPr>
            <w:r>
              <w:t>2</w:t>
            </w:r>
          </w:p>
        </w:tc>
        <w:tc>
          <w:tcPr>
            <w:tcW w:w="340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3E16" w:rsidRDefault="00BF68C7" w:rsidP="00BF68C7">
            <w:pPr>
              <w:jc w:val="center"/>
            </w:pPr>
            <w:r>
              <w:t>3</w:t>
            </w:r>
          </w:p>
        </w:tc>
      </w:tr>
      <w:tr w:rsidR="00051851" w:rsidTr="00E22381">
        <w:trPr>
          <w:trHeight w:val="1417"/>
        </w:trPr>
        <w:tc>
          <w:tcPr>
            <w:tcW w:w="336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51851" w:rsidRDefault="00051851"/>
        </w:tc>
        <w:tc>
          <w:tcPr>
            <w:tcW w:w="3118" w:type="dxa"/>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51851" w:rsidRDefault="00051851"/>
        </w:tc>
        <w:tc>
          <w:tcPr>
            <w:tcW w:w="1134" w:type="dxa"/>
            <w:gridSpan w:val="2"/>
            <w:tcBorders>
              <w:top w:val="single" w:sz="4" w:space="0" w:color="A6A6A6" w:themeColor="background1" w:themeShade="A6"/>
              <w:left w:val="single" w:sz="4" w:space="0" w:color="A6A6A6" w:themeColor="background1" w:themeShade="A6"/>
              <w:bottom w:val="nil"/>
              <w:right w:val="nil"/>
            </w:tcBorders>
          </w:tcPr>
          <w:p w:rsidR="00051851" w:rsidRDefault="00051851"/>
        </w:tc>
        <w:tc>
          <w:tcPr>
            <w:tcW w:w="1276" w:type="dxa"/>
            <w:tcBorders>
              <w:top w:val="single" w:sz="4" w:space="0" w:color="A6A6A6" w:themeColor="background1" w:themeShade="A6"/>
              <w:left w:val="nil"/>
              <w:bottom w:val="nil"/>
              <w:right w:val="nil"/>
            </w:tcBorders>
          </w:tcPr>
          <w:p w:rsidR="00051851" w:rsidRPr="00051851" w:rsidRDefault="00051851" w:rsidP="00F57CA3">
            <w:pPr>
              <w:pStyle w:val="Formatvorlage9Pt1"/>
            </w:pPr>
            <w:r w:rsidRPr="00051851">
              <w:t>Euro/100 kg</w:t>
            </w:r>
          </w:p>
        </w:tc>
        <w:tc>
          <w:tcPr>
            <w:tcW w:w="994" w:type="dxa"/>
            <w:gridSpan w:val="2"/>
            <w:tcBorders>
              <w:top w:val="single" w:sz="4" w:space="0" w:color="A6A6A6" w:themeColor="background1" w:themeShade="A6"/>
              <w:left w:val="nil"/>
              <w:bottom w:val="nil"/>
              <w:right w:val="single" w:sz="4" w:space="0" w:color="A6A6A6" w:themeColor="background1" w:themeShade="A6"/>
            </w:tcBorders>
          </w:tcPr>
          <w:p w:rsidR="00051851" w:rsidRPr="00051851" w:rsidRDefault="00051851" w:rsidP="00F57CA3">
            <w:pPr>
              <w:pStyle w:val="Formatvorlage9Pt1"/>
            </w:pPr>
            <w:r w:rsidRPr="00051851">
              <w:t>Kupfer</w:t>
            </w:r>
          </w:p>
        </w:tc>
      </w:tr>
      <w:tr w:rsidR="00051851" w:rsidTr="00E22381">
        <w:trPr>
          <w:trHeight w:val="1417"/>
        </w:trPr>
        <w:tc>
          <w:tcPr>
            <w:tcW w:w="3369" w:type="dxa"/>
            <w:vMerge/>
            <w:tcBorders>
              <w:left w:val="single" w:sz="4" w:space="0" w:color="A6A6A6" w:themeColor="background1" w:themeShade="A6"/>
              <w:right w:val="single" w:sz="4" w:space="0" w:color="A6A6A6" w:themeColor="background1" w:themeShade="A6"/>
            </w:tcBorders>
          </w:tcPr>
          <w:p w:rsidR="00051851" w:rsidRDefault="00051851"/>
        </w:tc>
        <w:tc>
          <w:tcPr>
            <w:tcW w:w="3118" w:type="dxa"/>
            <w:gridSpan w:val="2"/>
            <w:vMerge/>
            <w:tcBorders>
              <w:left w:val="single" w:sz="4" w:space="0" w:color="A6A6A6" w:themeColor="background1" w:themeShade="A6"/>
              <w:right w:val="single" w:sz="4" w:space="0" w:color="A6A6A6" w:themeColor="background1" w:themeShade="A6"/>
            </w:tcBorders>
          </w:tcPr>
          <w:p w:rsidR="00051851" w:rsidRDefault="00051851"/>
        </w:tc>
        <w:tc>
          <w:tcPr>
            <w:tcW w:w="1134" w:type="dxa"/>
            <w:gridSpan w:val="2"/>
            <w:tcBorders>
              <w:top w:val="nil"/>
              <w:left w:val="single" w:sz="4" w:space="0" w:color="A6A6A6" w:themeColor="background1" w:themeShade="A6"/>
              <w:bottom w:val="nil"/>
              <w:right w:val="nil"/>
            </w:tcBorders>
          </w:tcPr>
          <w:p w:rsidR="00051851" w:rsidRDefault="00051851"/>
        </w:tc>
        <w:tc>
          <w:tcPr>
            <w:tcW w:w="1276" w:type="dxa"/>
            <w:tcBorders>
              <w:top w:val="nil"/>
              <w:left w:val="nil"/>
              <w:bottom w:val="nil"/>
              <w:right w:val="nil"/>
            </w:tcBorders>
          </w:tcPr>
          <w:p w:rsidR="00051851" w:rsidRDefault="00051851" w:rsidP="00F57CA3">
            <w:pPr>
              <w:pStyle w:val="Formatvorlage9Pt1"/>
            </w:pPr>
            <w:r w:rsidRPr="00051851">
              <w:t>Euro/100 kg</w:t>
            </w:r>
          </w:p>
        </w:tc>
        <w:tc>
          <w:tcPr>
            <w:tcW w:w="994" w:type="dxa"/>
            <w:gridSpan w:val="2"/>
            <w:tcBorders>
              <w:top w:val="nil"/>
              <w:left w:val="nil"/>
              <w:bottom w:val="nil"/>
              <w:right w:val="single" w:sz="4" w:space="0" w:color="A6A6A6" w:themeColor="background1" w:themeShade="A6"/>
            </w:tcBorders>
          </w:tcPr>
          <w:p w:rsidR="00051851" w:rsidRPr="00051851" w:rsidRDefault="00051851" w:rsidP="00F57CA3">
            <w:pPr>
              <w:pStyle w:val="Formatvorlage9Pt1"/>
            </w:pPr>
            <w:r w:rsidRPr="00051851">
              <w:t>Blei</w:t>
            </w:r>
          </w:p>
        </w:tc>
      </w:tr>
      <w:tr w:rsidR="00AC6CC9" w:rsidRPr="00051851" w:rsidTr="00E22381">
        <w:trPr>
          <w:trHeight w:val="1417"/>
        </w:trPr>
        <w:tc>
          <w:tcPr>
            <w:tcW w:w="3369" w:type="dxa"/>
            <w:vMerge/>
            <w:tcBorders>
              <w:left w:val="single" w:sz="4" w:space="0" w:color="A6A6A6" w:themeColor="background1" w:themeShade="A6"/>
              <w:right w:val="single" w:sz="4" w:space="0" w:color="A6A6A6" w:themeColor="background1" w:themeShade="A6"/>
            </w:tcBorders>
          </w:tcPr>
          <w:p w:rsidR="00AC6CC9" w:rsidRPr="00051851" w:rsidRDefault="00AC6CC9">
            <w:pPr>
              <w:rPr>
                <w:sz w:val="18"/>
                <w:szCs w:val="18"/>
              </w:rPr>
            </w:pPr>
          </w:p>
        </w:tc>
        <w:tc>
          <w:tcPr>
            <w:tcW w:w="3118" w:type="dxa"/>
            <w:gridSpan w:val="2"/>
            <w:vMerge/>
            <w:tcBorders>
              <w:left w:val="single" w:sz="4" w:space="0" w:color="A6A6A6" w:themeColor="background1" w:themeShade="A6"/>
              <w:right w:val="single" w:sz="4" w:space="0" w:color="A6A6A6" w:themeColor="background1" w:themeShade="A6"/>
            </w:tcBorders>
          </w:tcPr>
          <w:p w:rsidR="00AC6CC9" w:rsidRPr="00051851" w:rsidRDefault="00AC6CC9">
            <w:pPr>
              <w:rPr>
                <w:sz w:val="18"/>
                <w:szCs w:val="18"/>
              </w:rPr>
            </w:pPr>
          </w:p>
        </w:tc>
        <w:tc>
          <w:tcPr>
            <w:tcW w:w="1134" w:type="dxa"/>
            <w:gridSpan w:val="2"/>
            <w:tcBorders>
              <w:top w:val="nil"/>
              <w:left w:val="single" w:sz="4" w:space="0" w:color="A6A6A6" w:themeColor="background1" w:themeShade="A6"/>
              <w:bottom w:val="nil"/>
              <w:right w:val="nil"/>
            </w:tcBorders>
          </w:tcPr>
          <w:p w:rsidR="00AC6CC9" w:rsidRPr="00051851" w:rsidRDefault="00AC6CC9">
            <w:pPr>
              <w:rPr>
                <w:sz w:val="18"/>
                <w:szCs w:val="18"/>
              </w:rPr>
            </w:pPr>
          </w:p>
        </w:tc>
        <w:tc>
          <w:tcPr>
            <w:tcW w:w="1276" w:type="dxa"/>
            <w:tcBorders>
              <w:top w:val="nil"/>
              <w:left w:val="nil"/>
              <w:bottom w:val="nil"/>
              <w:right w:val="nil"/>
            </w:tcBorders>
          </w:tcPr>
          <w:p w:rsidR="00AC6CC9" w:rsidRDefault="00AC6CC9" w:rsidP="00F57CA3">
            <w:pPr>
              <w:pStyle w:val="Formatvorlage9Pt1"/>
            </w:pPr>
            <w:r w:rsidRPr="00051851">
              <w:t>Euro/100 kg</w:t>
            </w:r>
          </w:p>
        </w:tc>
        <w:tc>
          <w:tcPr>
            <w:tcW w:w="994" w:type="dxa"/>
            <w:gridSpan w:val="2"/>
            <w:tcBorders>
              <w:top w:val="nil"/>
              <w:left w:val="nil"/>
              <w:bottom w:val="nil"/>
              <w:right w:val="single" w:sz="4" w:space="0" w:color="A6A6A6" w:themeColor="background1" w:themeShade="A6"/>
            </w:tcBorders>
          </w:tcPr>
          <w:p w:rsidR="00AC6CC9" w:rsidRPr="00051851" w:rsidRDefault="00AC6CC9" w:rsidP="00F57CA3">
            <w:pPr>
              <w:pStyle w:val="Formatvorlage9Pt1"/>
            </w:pPr>
            <w:proofErr w:type="spellStart"/>
            <w:r>
              <w:t>Alumi-nium</w:t>
            </w:r>
            <w:proofErr w:type="spellEnd"/>
          </w:p>
        </w:tc>
      </w:tr>
      <w:tr w:rsidR="00AC6CC9" w:rsidTr="00E22381">
        <w:trPr>
          <w:trHeight w:val="1417"/>
        </w:trPr>
        <w:tc>
          <w:tcPr>
            <w:tcW w:w="336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AC6CC9" w:rsidRDefault="00AC6CC9"/>
        </w:tc>
        <w:tc>
          <w:tcPr>
            <w:tcW w:w="3118"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AC6CC9" w:rsidRDefault="00AC6CC9"/>
        </w:tc>
        <w:tc>
          <w:tcPr>
            <w:tcW w:w="1134" w:type="dxa"/>
            <w:gridSpan w:val="2"/>
            <w:tcBorders>
              <w:top w:val="nil"/>
              <w:left w:val="single" w:sz="4" w:space="0" w:color="A6A6A6" w:themeColor="background1" w:themeShade="A6"/>
              <w:bottom w:val="single" w:sz="4" w:space="0" w:color="A6A6A6" w:themeColor="background1" w:themeShade="A6"/>
              <w:right w:val="nil"/>
            </w:tcBorders>
          </w:tcPr>
          <w:p w:rsidR="00AC6CC9" w:rsidRDefault="00AC6CC9"/>
        </w:tc>
        <w:tc>
          <w:tcPr>
            <w:tcW w:w="1276" w:type="dxa"/>
            <w:tcBorders>
              <w:top w:val="nil"/>
              <w:left w:val="nil"/>
              <w:bottom w:val="single" w:sz="4" w:space="0" w:color="A6A6A6" w:themeColor="background1" w:themeShade="A6"/>
              <w:right w:val="nil"/>
            </w:tcBorders>
          </w:tcPr>
          <w:p w:rsidR="00AC6CC9" w:rsidRDefault="00AC6CC9" w:rsidP="00F57CA3">
            <w:pPr>
              <w:pStyle w:val="Formatvorlage9Pt1"/>
            </w:pPr>
            <w:r w:rsidRPr="00051851">
              <w:t>Euro/100 kg</w:t>
            </w:r>
          </w:p>
        </w:tc>
        <w:tc>
          <w:tcPr>
            <w:tcW w:w="994" w:type="dxa"/>
            <w:gridSpan w:val="2"/>
            <w:tcBorders>
              <w:top w:val="nil"/>
              <w:left w:val="nil"/>
              <w:bottom w:val="single" w:sz="4" w:space="0" w:color="A6A6A6" w:themeColor="background1" w:themeShade="A6"/>
              <w:right w:val="single" w:sz="4" w:space="0" w:color="A6A6A6" w:themeColor="background1" w:themeShade="A6"/>
            </w:tcBorders>
          </w:tcPr>
          <w:p w:rsidR="00AC6CC9" w:rsidRDefault="00AC6CC9"/>
        </w:tc>
      </w:tr>
    </w:tbl>
    <w:p w:rsidR="00BC35EE" w:rsidRDefault="00BC35EE"/>
    <w:p w:rsidR="001643EF" w:rsidRDefault="001643EF" w:rsidP="001643EF">
      <w:pPr>
        <w:rPr>
          <w:b/>
        </w:rPr>
        <w:sectPr w:rsidR="001643EF" w:rsidSect="00500C2B">
          <w:headerReference w:type="even" r:id="rId9"/>
          <w:headerReference w:type="default" r:id="rId10"/>
          <w:footerReference w:type="default" r:id="rId11"/>
          <w:pgSz w:w="11906" w:h="16838" w:code="9"/>
          <w:pgMar w:top="851" w:right="851" w:bottom="567" w:left="1304" w:header="709" w:footer="284" w:gutter="0"/>
          <w:cols w:space="708"/>
          <w:docGrid w:linePitch="360"/>
        </w:sectPr>
      </w:pPr>
    </w:p>
    <w:p w:rsidR="001643EF" w:rsidRPr="001643EF" w:rsidRDefault="001643EF" w:rsidP="00F8463F">
      <w:pPr>
        <w:pStyle w:val="Oben"/>
      </w:pPr>
      <w:r w:rsidRPr="001643EF">
        <w:lastRenderedPageBreak/>
        <w:t>Stoffpreisgleitklausel</w:t>
      </w:r>
    </w:p>
    <w:p w:rsidR="001643EF" w:rsidRPr="001643EF" w:rsidRDefault="001643EF" w:rsidP="00F8463F">
      <w:pPr>
        <w:pStyle w:val="berschrift1"/>
      </w:pPr>
      <w:r w:rsidRPr="001643EF">
        <w:t>Anwendungsbereich</w:t>
      </w:r>
    </w:p>
    <w:p w:rsidR="001643EF" w:rsidRPr="001643EF" w:rsidRDefault="001643EF" w:rsidP="00F8463F">
      <w:pPr>
        <w:pStyle w:val="Text"/>
      </w:pPr>
      <w:r w:rsidRPr="001643EF">
        <w:t xml:space="preserve">Die Klausel gilt nur für die </w:t>
      </w:r>
      <w:r w:rsidRPr="00745D57">
        <w:t>Stoffe</w:t>
      </w:r>
      <w:r w:rsidRPr="001643EF">
        <w:t>, die im „Verzeic</w:t>
      </w:r>
      <w:r w:rsidR="006A3552">
        <w:t>hnis für Stoffpreisgleitklausel</w:t>
      </w:r>
      <w:r w:rsidR="007171E9">
        <w:t xml:space="preserve"> </w:t>
      </w:r>
      <w:r w:rsidR="007171E9" w:rsidRPr="007171E9">
        <w:t>Nichteisenmetalle (NEM)</w:t>
      </w:r>
      <w:r w:rsidRPr="001643EF">
        <w:t>“ genannt sind.</w:t>
      </w:r>
    </w:p>
    <w:p w:rsidR="001643EF" w:rsidRPr="001643EF" w:rsidRDefault="001643EF" w:rsidP="00F8463F">
      <w:pPr>
        <w:pStyle w:val="Text"/>
      </w:pPr>
      <w:r w:rsidRPr="00F347E3">
        <w:t xml:space="preserve">Sie gilt insoweit auch für die Abrechnung von </w:t>
      </w:r>
      <w:r w:rsidR="00261857" w:rsidRPr="00F347E3">
        <w:t>Nachtr</w:t>
      </w:r>
      <w:r w:rsidR="00261857">
        <w:t>agsleistungen</w:t>
      </w:r>
      <w:r w:rsidRPr="00F347E3">
        <w:t>.</w:t>
      </w:r>
    </w:p>
    <w:p w:rsidR="001643EF" w:rsidRPr="001643EF" w:rsidRDefault="001643EF" w:rsidP="00F8463F">
      <w:pPr>
        <w:pStyle w:val="Text"/>
      </w:pPr>
      <w:r w:rsidRPr="001643EF">
        <w:t>Mehr- oder Minderaufwendungen werden nach den folgenden Regelungen abgerechnet.</w:t>
      </w:r>
    </w:p>
    <w:p w:rsidR="001643EF" w:rsidRPr="001643EF" w:rsidRDefault="001643EF" w:rsidP="00F8463F">
      <w:pPr>
        <w:pStyle w:val="berschrift1"/>
      </w:pPr>
      <w:r w:rsidRPr="001643EF">
        <w:t>Allgemeines</w:t>
      </w:r>
    </w:p>
    <w:p w:rsidR="007171E9" w:rsidRDefault="001643EF" w:rsidP="00F8463F">
      <w:pPr>
        <w:pStyle w:val="berschrift2"/>
        <w:rPr>
          <w:b w:val="0"/>
        </w:rPr>
      </w:pPr>
      <w:r w:rsidRPr="007171E9">
        <w:rPr>
          <w:b w:val="0"/>
        </w:rPr>
        <w:t>Der Auftragnehmer hat dem Auftraggeber über die</w:t>
      </w:r>
      <w:r w:rsidR="00FA1AC5">
        <w:rPr>
          <w:b w:val="0"/>
        </w:rPr>
        <w:t xml:space="preserve"> Verwendung der Stoffe nach N</w:t>
      </w:r>
      <w:r w:rsidR="00FC0FDD">
        <w:rPr>
          <w:b w:val="0"/>
        </w:rPr>
        <w:t>ummer</w:t>
      </w:r>
      <w:r w:rsidR="00FA1AC5">
        <w:rPr>
          <w:b w:val="0"/>
        </w:rPr>
        <w:t> </w:t>
      </w:r>
      <w:r w:rsidRPr="007171E9">
        <w:rPr>
          <w:b w:val="0"/>
        </w:rPr>
        <w:t>1 prüfbare Auf</w:t>
      </w:r>
      <w:r w:rsidR="006016EC">
        <w:rPr>
          <w:b w:val="0"/>
        </w:rPr>
        <w:softHyphen/>
      </w:r>
      <w:r w:rsidRPr="007171E9">
        <w:rPr>
          <w:b w:val="0"/>
        </w:rPr>
        <w:t>zeichnungen</w:t>
      </w:r>
      <w:r w:rsidR="00BB6266">
        <w:rPr>
          <w:b w:val="0"/>
        </w:rPr>
        <w:t xml:space="preserve"> (Aufmaße)</w:t>
      </w:r>
      <w:r w:rsidRPr="007171E9">
        <w:rPr>
          <w:b w:val="0"/>
        </w:rPr>
        <w:t xml:space="preserve"> vorzulegen, wenn Mehr- oder Minde</w:t>
      </w:r>
      <w:r w:rsidR="007171E9">
        <w:rPr>
          <w:b w:val="0"/>
        </w:rPr>
        <w:t>raufwendungen abzurechnen sind.</w:t>
      </w:r>
    </w:p>
    <w:p w:rsidR="001643EF" w:rsidRPr="007171E9" w:rsidRDefault="001643EF" w:rsidP="00F8463F">
      <w:pPr>
        <w:pStyle w:val="berschrift2"/>
        <w:rPr>
          <w:b w:val="0"/>
        </w:rPr>
      </w:pPr>
      <w:r w:rsidRPr="007171E9">
        <w:rPr>
          <w:b w:val="0"/>
        </w:rPr>
        <w:t>Der Ermittlung der Mehr- oder Minderaufwendungen werden nur die Baustoffmengen zugrunde ge</w:t>
      </w:r>
      <w:r w:rsidR="006016EC">
        <w:rPr>
          <w:b w:val="0"/>
        </w:rPr>
        <w:softHyphen/>
      </w:r>
      <w:r w:rsidRPr="007171E9">
        <w:rPr>
          <w:b w:val="0"/>
        </w:rPr>
        <w:t xml:space="preserve">legt, für </w:t>
      </w:r>
      <w:r w:rsidR="00B957D6" w:rsidRPr="007171E9">
        <w:rPr>
          <w:b w:val="0"/>
        </w:rPr>
        <w:t>die</w:t>
      </w:r>
      <w:r w:rsidRPr="007171E9">
        <w:rPr>
          <w:b w:val="0"/>
        </w:rPr>
        <w:t xml:space="preserve"> nach dem Vertrag eine Vergütung zu gewähren ist.</w:t>
      </w:r>
    </w:p>
    <w:p w:rsidR="001643EF" w:rsidRPr="001643EF" w:rsidRDefault="001643EF" w:rsidP="00F8463F">
      <w:pPr>
        <w:pStyle w:val="Text"/>
      </w:pPr>
      <w:r w:rsidRPr="001643EF">
        <w:t xml:space="preserve">Bei vereinbarter Pauschalierung oder Limitierung der Vergütung werden die </w:t>
      </w:r>
      <w:r w:rsidR="00444A7E">
        <w:t>vereinbarten pauscha</w:t>
      </w:r>
      <w:r w:rsidR="006016EC">
        <w:softHyphen/>
      </w:r>
      <w:r w:rsidR="00444A7E">
        <w:t>lierten</w:t>
      </w:r>
      <w:r w:rsidRPr="001643EF">
        <w:t xml:space="preserve"> Baustoffmengen</w:t>
      </w:r>
      <w:r w:rsidR="00BB6266">
        <w:t xml:space="preserve"> bei</w:t>
      </w:r>
      <w:r w:rsidRPr="001643EF">
        <w:t xml:space="preserve"> der Ermittlung der Mehr- oder Minderaufwendungen zugrunde gelegt.</w:t>
      </w:r>
    </w:p>
    <w:p w:rsidR="00CF28A8" w:rsidRDefault="00444A7E" w:rsidP="00B75B2D">
      <w:pPr>
        <w:pStyle w:val="berschrift2"/>
        <w:numPr>
          <w:ilvl w:val="0"/>
          <w:numId w:val="0"/>
        </w:numPr>
        <w:ind w:left="851"/>
        <w:rPr>
          <w:b w:val="0"/>
          <w:bCs w:val="0"/>
          <w:iCs w:val="0"/>
        </w:rPr>
      </w:pPr>
      <w:r w:rsidRPr="00B75B2D">
        <w:rPr>
          <w:b w:val="0"/>
          <w:bCs w:val="0"/>
          <w:iCs w:val="0"/>
        </w:rPr>
        <w:t>Mehr- oder Minderaufwendungen werden erst vergütet, wenn die Bagatellgrenze überschritten ist</w:t>
      </w:r>
      <w:r w:rsidR="00A5347C">
        <w:rPr>
          <w:b w:val="0"/>
          <w:bCs w:val="0"/>
          <w:iCs w:val="0"/>
        </w:rPr>
        <w:t xml:space="preserve">. Dies ist der Fall, </w:t>
      </w:r>
      <w:r w:rsidRPr="00B75B2D">
        <w:rPr>
          <w:b w:val="0"/>
          <w:bCs w:val="0"/>
          <w:iCs w:val="0"/>
        </w:rPr>
        <w:t xml:space="preserve">wenn </w:t>
      </w:r>
      <w:r w:rsidR="00A5347C">
        <w:rPr>
          <w:b w:val="0"/>
          <w:bCs w:val="0"/>
          <w:iCs w:val="0"/>
        </w:rPr>
        <w:t xml:space="preserve">in dem im </w:t>
      </w:r>
      <w:r w:rsidR="00A5347C" w:rsidRPr="00B75B2D">
        <w:rPr>
          <w:b w:val="0"/>
          <w:bCs w:val="0"/>
          <w:iCs w:val="0"/>
        </w:rPr>
        <w:t>„</w:t>
      </w:r>
      <w:r w:rsidR="002F34F8">
        <w:rPr>
          <w:b w:val="0"/>
          <w:bCs w:val="0"/>
          <w:iCs w:val="0"/>
        </w:rPr>
        <w:t>Verzeichnis für Stoffpreisgleit</w:t>
      </w:r>
      <w:r w:rsidR="00A5347C" w:rsidRPr="00B75B2D">
        <w:rPr>
          <w:b w:val="0"/>
          <w:bCs w:val="0"/>
          <w:iCs w:val="0"/>
        </w:rPr>
        <w:t xml:space="preserve">klausel Nichteisenmetalle (NEM)“ </w:t>
      </w:r>
      <w:r w:rsidR="00A5347C">
        <w:rPr>
          <w:b w:val="0"/>
          <w:bCs w:val="0"/>
          <w:iCs w:val="0"/>
        </w:rPr>
        <w:t xml:space="preserve">benannten </w:t>
      </w:r>
      <w:r w:rsidR="00A5347C" w:rsidRPr="00B75B2D">
        <w:rPr>
          <w:b w:val="0"/>
          <w:bCs w:val="0"/>
          <w:iCs w:val="0"/>
        </w:rPr>
        <w:t>Leistungsbereich</w:t>
      </w:r>
      <w:r w:rsidR="00A5347C">
        <w:rPr>
          <w:b w:val="0"/>
          <w:bCs w:val="0"/>
          <w:iCs w:val="0"/>
        </w:rPr>
        <w:t xml:space="preserve"> </w:t>
      </w:r>
      <w:r w:rsidRPr="00B75B2D">
        <w:rPr>
          <w:b w:val="0"/>
          <w:bCs w:val="0"/>
          <w:iCs w:val="0"/>
        </w:rPr>
        <w:t xml:space="preserve">die Aufwendungen mehr als </w:t>
      </w:r>
      <w:r w:rsidR="00FC0FDD">
        <w:rPr>
          <w:b w:val="0"/>
          <w:bCs w:val="0"/>
          <w:iCs w:val="0"/>
        </w:rPr>
        <w:t>zwei</w:t>
      </w:r>
      <w:r w:rsidR="00A5347C">
        <w:rPr>
          <w:b w:val="0"/>
          <w:bCs w:val="0"/>
          <w:iCs w:val="0"/>
        </w:rPr>
        <w:t> </w:t>
      </w:r>
      <w:r w:rsidRPr="00B75B2D">
        <w:rPr>
          <w:b w:val="0"/>
          <w:bCs w:val="0"/>
          <w:iCs w:val="0"/>
        </w:rPr>
        <w:t>v.H. der Abrechnungssumme</w:t>
      </w:r>
      <w:r w:rsidR="00CF28A8">
        <w:rPr>
          <w:b w:val="0"/>
          <w:bCs w:val="0"/>
          <w:iCs w:val="0"/>
        </w:rPr>
        <w:t xml:space="preserve"> </w:t>
      </w:r>
      <w:r w:rsidR="00CF28A8" w:rsidRPr="00444A7E">
        <w:rPr>
          <w:b w:val="0"/>
          <w:bCs w:val="0"/>
          <w:iCs w:val="0"/>
        </w:rPr>
        <w:t>der im „Verzeichnis für Stoffpreisgleitklausel“ aufgeführten Positionen (OZ)</w:t>
      </w:r>
      <w:r w:rsidRPr="00B75B2D">
        <w:rPr>
          <w:b w:val="0"/>
          <w:bCs w:val="0"/>
          <w:iCs w:val="0"/>
        </w:rPr>
        <w:t xml:space="preserve"> </w:t>
      </w:r>
      <w:r w:rsidR="00B75B2D" w:rsidRPr="00B75B2D">
        <w:rPr>
          <w:b w:val="0"/>
          <w:bCs w:val="0"/>
          <w:iCs w:val="0"/>
        </w:rPr>
        <w:t>betragen.</w:t>
      </w:r>
      <w:r w:rsidR="00A5347C">
        <w:rPr>
          <w:b w:val="0"/>
          <w:bCs w:val="0"/>
          <w:iCs w:val="0"/>
        </w:rPr>
        <w:t xml:space="preserve"> </w:t>
      </w:r>
    </w:p>
    <w:p w:rsidR="00444A7E" w:rsidRPr="00B75B2D" w:rsidRDefault="00CF28A8" w:rsidP="00B75B2D">
      <w:pPr>
        <w:pStyle w:val="berschrift2"/>
        <w:numPr>
          <w:ilvl w:val="0"/>
          <w:numId w:val="0"/>
        </w:numPr>
        <w:ind w:left="851"/>
        <w:rPr>
          <w:b w:val="0"/>
          <w:bCs w:val="0"/>
          <w:iCs w:val="0"/>
        </w:rPr>
      </w:pPr>
      <w:r>
        <w:rPr>
          <w:b w:val="0"/>
          <w:bCs w:val="0"/>
          <w:iCs w:val="0"/>
        </w:rPr>
        <w:t>Für die Abrechnung der Mehr- oder Minderaufwendungen wird</w:t>
      </w:r>
      <w:r w:rsidR="00A5347C" w:rsidRPr="00B7454B">
        <w:rPr>
          <w:b w:val="0"/>
          <w:bCs w:val="0"/>
          <w:iCs w:val="0"/>
        </w:rPr>
        <w:t xml:space="preserve"> nur der eingebaute Nichteisenmetallanteil an der jeweiligen Leistung </w:t>
      </w:r>
      <w:r w:rsidR="00661F8F" w:rsidRPr="00B7454B">
        <w:rPr>
          <w:b w:val="0"/>
          <w:bCs w:val="0"/>
          <w:iCs w:val="0"/>
        </w:rPr>
        <w:t>berücksichtigt</w:t>
      </w:r>
      <w:r w:rsidR="00A5347C" w:rsidRPr="00B7454B">
        <w:rPr>
          <w:b w:val="0"/>
          <w:bCs w:val="0"/>
          <w:iCs w:val="0"/>
        </w:rPr>
        <w:t>; nicht jedoch etwaige andere Baustoffe,</w:t>
      </w:r>
      <w:r w:rsidR="00661F8F" w:rsidRPr="00B7454B">
        <w:rPr>
          <w:b w:val="0"/>
          <w:bCs w:val="0"/>
          <w:iCs w:val="0"/>
        </w:rPr>
        <w:t xml:space="preserve"> wie</w:t>
      </w:r>
      <w:r w:rsidR="00A5347C" w:rsidRPr="00B7454B">
        <w:rPr>
          <w:b w:val="0"/>
          <w:bCs w:val="0"/>
          <w:iCs w:val="0"/>
        </w:rPr>
        <w:t xml:space="preserve"> z.B. Kunststoffummantelungen.</w:t>
      </w:r>
      <w:r>
        <w:rPr>
          <w:b w:val="0"/>
          <w:bCs w:val="0"/>
          <w:iCs w:val="0"/>
        </w:rPr>
        <w:t xml:space="preserve"> Etwaige Bezugskosten bleiben unberücksichtigt. </w:t>
      </w:r>
    </w:p>
    <w:p w:rsidR="00444A7E" w:rsidRPr="001643EF" w:rsidRDefault="00444A7E" w:rsidP="00444A7E">
      <w:pPr>
        <w:pStyle w:val="Text"/>
      </w:pPr>
      <w:r w:rsidRPr="00444A7E">
        <w:t xml:space="preserve">Für die Berechnung des Bagatellbetrages zugrunde zu legen ist die </w:t>
      </w:r>
      <w:r w:rsidR="00661F8F">
        <w:t xml:space="preserve">v.g. </w:t>
      </w:r>
      <w:r w:rsidRPr="00444A7E">
        <w:t>Abrechnungssumme ohne die aufgrund der Gleitklausel zu erstattenden Beträge und ohne Umsatzsteuer.</w:t>
      </w:r>
    </w:p>
    <w:p w:rsidR="00444A7E" w:rsidRPr="00444A7E" w:rsidRDefault="00444A7E" w:rsidP="00444A7E">
      <w:pPr>
        <w:pStyle w:val="berschrift2"/>
        <w:rPr>
          <w:b w:val="0"/>
          <w:bCs w:val="0"/>
          <w:iCs w:val="0"/>
        </w:rPr>
      </w:pPr>
      <w:r w:rsidRPr="00444A7E">
        <w:rPr>
          <w:b w:val="0"/>
          <w:bCs w:val="0"/>
          <w:iCs w:val="0"/>
        </w:rPr>
        <w:t>An den ermittelten Aufwendungen wird der Auftragnehmer beteiligt, sei</w:t>
      </w:r>
      <w:r w:rsidR="00FA1AC5">
        <w:rPr>
          <w:b w:val="0"/>
          <w:bCs w:val="0"/>
          <w:iCs w:val="0"/>
        </w:rPr>
        <w:t>ne Selbstbeteiligung beträgt 10 </w:t>
      </w:r>
      <w:r w:rsidRPr="00444A7E">
        <w:rPr>
          <w:b w:val="0"/>
          <w:bCs w:val="0"/>
          <w:iCs w:val="0"/>
        </w:rPr>
        <w:t>v.H. der Mehraufwendungen, mindestens aber die Höhe des Bagatellbetrages. Für die Berech</w:t>
      </w:r>
      <w:r w:rsidR="006016EC">
        <w:rPr>
          <w:b w:val="0"/>
          <w:bCs w:val="0"/>
          <w:iCs w:val="0"/>
        </w:rPr>
        <w:softHyphen/>
      </w:r>
      <w:r w:rsidRPr="00444A7E">
        <w:rPr>
          <w:b w:val="0"/>
          <w:bCs w:val="0"/>
          <w:iCs w:val="0"/>
        </w:rPr>
        <w:t>nung der Selbstbeteiligung zugrunde zu legen ist der Mehrbetrag ohne Umsatzsteuer.</w:t>
      </w:r>
    </w:p>
    <w:p w:rsidR="001643EF" w:rsidRPr="00F8463F" w:rsidRDefault="001643EF" w:rsidP="00F8463F">
      <w:pPr>
        <w:pStyle w:val="berschrift2"/>
        <w:rPr>
          <w:b w:val="0"/>
        </w:rPr>
      </w:pPr>
      <w:r w:rsidRPr="00F8463F">
        <w:rPr>
          <w:b w:val="0"/>
        </w:rPr>
        <w:t>Bei Stoffpreissenkungen ist der Auftragnehmer verpflichtet, die ersparten (=Minder-) Aufwendungen von seinem Vergütungsanspruch ab</w:t>
      </w:r>
      <w:r w:rsidR="00FA1AC5">
        <w:rPr>
          <w:b w:val="0"/>
        </w:rPr>
        <w:t xml:space="preserve">zusetzen. Er ist berechtigt, </w:t>
      </w:r>
      <w:r w:rsidR="00FC0FDD">
        <w:rPr>
          <w:b w:val="0"/>
        </w:rPr>
        <w:t>zehn</w:t>
      </w:r>
      <w:r w:rsidR="00FA1AC5">
        <w:rPr>
          <w:b w:val="0"/>
        </w:rPr>
        <w:t> </w:t>
      </w:r>
      <w:r w:rsidRPr="00F8463F">
        <w:rPr>
          <w:b w:val="0"/>
        </w:rPr>
        <w:t>v.H. der ersparten Aufwendun</w:t>
      </w:r>
      <w:r w:rsidR="006016EC">
        <w:rPr>
          <w:b w:val="0"/>
        </w:rPr>
        <w:softHyphen/>
      </w:r>
      <w:r w:rsidRPr="00F8463F">
        <w:rPr>
          <w:b w:val="0"/>
        </w:rPr>
        <w:t xml:space="preserve">gen, mindestens </w:t>
      </w:r>
      <w:r w:rsidR="00374055">
        <w:rPr>
          <w:b w:val="0"/>
        </w:rPr>
        <w:t>die Höhe des Betrages der Bagatelle</w:t>
      </w:r>
      <w:r w:rsidR="00FA1AC5">
        <w:rPr>
          <w:b w:val="0"/>
        </w:rPr>
        <w:t xml:space="preserve"> (vgl. N</w:t>
      </w:r>
      <w:r w:rsidR="00FC0FDD">
        <w:rPr>
          <w:b w:val="0"/>
        </w:rPr>
        <w:t>umme</w:t>
      </w:r>
      <w:r w:rsidR="00FA1AC5">
        <w:rPr>
          <w:b w:val="0"/>
        </w:rPr>
        <w:t>r </w:t>
      </w:r>
      <w:r w:rsidRPr="00F8463F">
        <w:rPr>
          <w:b w:val="0"/>
        </w:rPr>
        <w:t>2.</w:t>
      </w:r>
      <w:r w:rsidR="00C74C19">
        <w:rPr>
          <w:b w:val="0"/>
        </w:rPr>
        <w:t>2</w:t>
      </w:r>
      <w:r w:rsidRPr="00F8463F">
        <w:rPr>
          <w:b w:val="0"/>
        </w:rPr>
        <w:t>) einzubehalten.</w:t>
      </w:r>
    </w:p>
    <w:p w:rsidR="001643EF" w:rsidRPr="002F222B" w:rsidRDefault="001643EF" w:rsidP="002F222B">
      <w:pPr>
        <w:pStyle w:val="berschrift2"/>
        <w:rPr>
          <w:b w:val="0"/>
        </w:rPr>
      </w:pPr>
      <w:r w:rsidRPr="002F222B">
        <w:rPr>
          <w:b w:val="0"/>
        </w:rPr>
        <w:t>Sind sowohl Mehraufwendungen als auch Minderaufwendungen zu erstatten, so werden diese ge</w:t>
      </w:r>
      <w:r w:rsidR="006016EC">
        <w:rPr>
          <w:b w:val="0"/>
        </w:rPr>
        <w:softHyphen/>
      </w:r>
      <w:r w:rsidRPr="002F222B">
        <w:rPr>
          <w:b w:val="0"/>
        </w:rPr>
        <w:t>trennt ermittelt und gegeneinander aufgerechnet; auf die si</w:t>
      </w:r>
      <w:r w:rsidR="00FA1AC5">
        <w:rPr>
          <w:b w:val="0"/>
        </w:rPr>
        <w:t>ch ergebende Differenz wird N</w:t>
      </w:r>
      <w:r w:rsidR="00FC0FDD">
        <w:rPr>
          <w:b w:val="0"/>
        </w:rPr>
        <w:t>umme</w:t>
      </w:r>
      <w:r w:rsidR="00FA1AC5">
        <w:rPr>
          <w:b w:val="0"/>
        </w:rPr>
        <w:t>r </w:t>
      </w:r>
      <w:r w:rsidRPr="002F222B">
        <w:rPr>
          <w:b w:val="0"/>
        </w:rPr>
        <w:t>2.</w:t>
      </w:r>
      <w:r w:rsidR="00C74C19">
        <w:rPr>
          <w:b w:val="0"/>
        </w:rPr>
        <w:t>3</w:t>
      </w:r>
      <w:r w:rsidR="00C74C19" w:rsidRPr="002F222B">
        <w:rPr>
          <w:b w:val="0"/>
        </w:rPr>
        <w:t xml:space="preserve"> </w:t>
      </w:r>
      <w:r w:rsidRPr="002F222B">
        <w:rPr>
          <w:b w:val="0"/>
        </w:rPr>
        <w:t>bzw. 2.</w:t>
      </w:r>
      <w:r w:rsidR="00C74C19">
        <w:rPr>
          <w:b w:val="0"/>
        </w:rPr>
        <w:t>4</w:t>
      </w:r>
      <w:r w:rsidR="00C74C19" w:rsidRPr="002F222B">
        <w:rPr>
          <w:b w:val="0"/>
        </w:rPr>
        <w:t xml:space="preserve"> </w:t>
      </w:r>
      <w:r w:rsidRPr="002F222B">
        <w:rPr>
          <w:b w:val="0"/>
        </w:rPr>
        <w:t>angewendet.</w:t>
      </w:r>
    </w:p>
    <w:p w:rsidR="001643EF" w:rsidRPr="001643EF" w:rsidRDefault="001643EF" w:rsidP="00F8463F">
      <w:pPr>
        <w:pStyle w:val="berschrift1"/>
      </w:pPr>
      <w:r w:rsidRPr="001643EF">
        <w:t>Abrechnung</w:t>
      </w:r>
    </w:p>
    <w:p w:rsidR="00F76B6C" w:rsidRDefault="00374055" w:rsidP="00AC40EF">
      <w:pPr>
        <w:pStyle w:val="berschrift2"/>
        <w:rPr>
          <w:b w:val="0"/>
          <w:bCs w:val="0"/>
          <w:iCs w:val="0"/>
        </w:rPr>
      </w:pPr>
      <w:r w:rsidRPr="00AC40EF">
        <w:rPr>
          <w:b w:val="0"/>
          <w:bCs w:val="0"/>
          <w:iCs w:val="0"/>
        </w:rPr>
        <w:t>Der Auftraggeber setzt für die im „Verzeichnis für Stoffpreisgleitklausel</w:t>
      </w:r>
      <w:r w:rsidR="00F76B6C">
        <w:rPr>
          <w:b w:val="0"/>
          <w:bCs w:val="0"/>
          <w:iCs w:val="0"/>
        </w:rPr>
        <w:t xml:space="preserve"> </w:t>
      </w:r>
      <w:r w:rsidR="00F76B6C" w:rsidRPr="00F76B6C">
        <w:rPr>
          <w:b w:val="0"/>
          <w:bCs w:val="0"/>
          <w:iCs w:val="0"/>
        </w:rPr>
        <w:t>Nichteisenmetalle (NEM)</w:t>
      </w:r>
      <w:r w:rsidRPr="00AC40EF">
        <w:rPr>
          <w:b w:val="0"/>
          <w:bCs w:val="0"/>
          <w:iCs w:val="0"/>
        </w:rPr>
        <w:t xml:space="preserve">“ aufgeführten Stoffe </w:t>
      </w:r>
      <w:r w:rsidR="00F76B6C">
        <w:rPr>
          <w:b w:val="0"/>
          <w:bCs w:val="0"/>
          <w:iCs w:val="0"/>
        </w:rPr>
        <w:t xml:space="preserve">für die Kalkulation einen Basiswert </w:t>
      </w:r>
      <w:r w:rsidR="00F76B6C" w:rsidRPr="00F76B6C">
        <w:rPr>
          <w:b w:val="0"/>
          <w:bCs w:val="0"/>
          <w:iCs w:val="0"/>
        </w:rPr>
        <w:t>zum Zeitpunkt der Versendung der Vergabeunterlagen (Monat / Jahr) als Nettopreis fest</w:t>
      </w:r>
      <w:r w:rsidR="00F76B6C">
        <w:rPr>
          <w:b w:val="0"/>
          <w:bCs w:val="0"/>
          <w:iCs w:val="0"/>
        </w:rPr>
        <w:t>.</w:t>
      </w:r>
    </w:p>
    <w:p w:rsidR="00AC40EF" w:rsidRDefault="00F76B6C" w:rsidP="002563CC">
      <w:pPr>
        <w:pStyle w:val="Text"/>
        <w:rPr>
          <w:b/>
          <w:bCs/>
          <w:iCs/>
        </w:rPr>
      </w:pPr>
      <w:r>
        <w:rPr>
          <w:b/>
          <w:bCs/>
          <w:iCs/>
        </w:rPr>
        <w:t>Die A</w:t>
      </w:r>
      <w:r w:rsidRPr="00F76B6C">
        <w:rPr>
          <w:b/>
          <w:bCs/>
          <w:iCs/>
        </w:rPr>
        <w:t xml:space="preserve">brechnung </w:t>
      </w:r>
      <w:r>
        <w:rPr>
          <w:b/>
          <w:bCs/>
          <w:iCs/>
        </w:rPr>
        <w:t xml:space="preserve">erfolgt </w:t>
      </w:r>
      <w:r w:rsidR="0087635C">
        <w:rPr>
          <w:b/>
          <w:bCs/>
          <w:iCs/>
        </w:rPr>
        <w:t>nach dem Abrechnungspreis</w:t>
      </w:r>
      <w:r w:rsidR="004D7AFA">
        <w:rPr>
          <w:b/>
          <w:bCs/>
          <w:iCs/>
        </w:rPr>
        <w:t xml:space="preserve">. </w:t>
      </w:r>
      <w:r w:rsidR="004D7AFA" w:rsidRPr="002563CC">
        <w:rPr>
          <w:b/>
          <w:bCs/>
        </w:rPr>
        <w:t>Dieser wird</w:t>
      </w:r>
      <w:r w:rsidR="0087635C" w:rsidRPr="002563CC">
        <w:rPr>
          <w:b/>
          <w:bCs/>
        </w:rPr>
        <w:t xml:space="preserve"> </w:t>
      </w:r>
      <w:r w:rsidR="002563CC" w:rsidRPr="002563CC">
        <w:rPr>
          <w:b/>
          <w:bCs/>
        </w:rPr>
        <w:t>auf der Grundlage der deutschen Metallnotierungen, unterer Wert der Notierung der NE-</w:t>
      </w:r>
      <w:proofErr w:type="spellStart"/>
      <w:r w:rsidR="002563CC" w:rsidRPr="002563CC">
        <w:rPr>
          <w:b/>
          <w:bCs/>
        </w:rPr>
        <w:t>Metallverarbeiter</w:t>
      </w:r>
      <w:proofErr w:type="spellEnd"/>
      <w:r w:rsidR="002563CC" w:rsidRPr="002563CC">
        <w:rPr>
          <w:b/>
          <w:bCs/>
        </w:rPr>
        <w:t xml:space="preserve"> - </w:t>
      </w:r>
      <w:hyperlink r:id="rId12" w:history="1">
        <w:r w:rsidR="002563CC" w:rsidRPr="002563CC">
          <w:rPr>
            <w:b/>
            <w:bCs/>
          </w:rPr>
          <w:t>http://del-notiz.com/</w:t>
        </w:r>
      </w:hyperlink>
      <w:r w:rsidR="002563CC" w:rsidRPr="002563CC">
        <w:rPr>
          <w:b/>
          <w:bCs/>
        </w:rPr>
        <w:t xml:space="preserve"> vom 5. Tag nach dem Datum des Auftragsschreibens</w:t>
      </w:r>
      <w:r w:rsidR="00261857">
        <w:rPr>
          <w:b/>
          <w:bCs/>
        </w:rPr>
        <w:t xml:space="preserve">, bei Nachtragsleistungen nach dem Datum der Anordnung durch den Auftraggeber, </w:t>
      </w:r>
      <w:r w:rsidR="002563CC" w:rsidRPr="002563CC">
        <w:rPr>
          <w:b/>
          <w:bCs/>
        </w:rPr>
        <w:t>ermittelt. Erfolgt an diesem Tag keine Notierung, gilt die darauf folgende Notierung.</w:t>
      </w:r>
      <w:r w:rsidR="002563CC">
        <w:t xml:space="preserve"> </w:t>
      </w:r>
    </w:p>
    <w:p w:rsidR="001643EF" w:rsidRDefault="00D52587" w:rsidP="00F8463F">
      <w:pPr>
        <w:pStyle w:val="berschrift2"/>
        <w:rPr>
          <w:b w:val="0"/>
        </w:rPr>
      </w:pPr>
      <w:r>
        <w:rPr>
          <w:b w:val="0"/>
        </w:rPr>
        <w:t xml:space="preserve">Die nach </w:t>
      </w:r>
      <w:r w:rsidR="00FC0FDD">
        <w:rPr>
          <w:b w:val="0"/>
        </w:rPr>
        <w:t>Nummer</w:t>
      </w:r>
      <w:r>
        <w:rPr>
          <w:b w:val="0"/>
        </w:rPr>
        <w:t> </w:t>
      </w:r>
      <w:r w:rsidR="001643EF" w:rsidRPr="00F8463F">
        <w:rPr>
          <w:b w:val="0"/>
        </w:rPr>
        <w:t>3.</w:t>
      </w:r>
      <w:r w:rsidR="0087635C">
        <w:rPr>
          <w:b w:val="0"/>
        </w:rPr>
        <w:t>1</w:t>
      </w:r>
      <w:r w:rsidR="001643EF" w:rsidRPr="00F8463F">
        <w:rPr>
          <w:b w:val="0"/>
        </w:rPr>
        <w:t xml:space="preserve"> errechneten Mehr- oder Minderaufwendungen werden für jede im „Verzeichnis</w:t>
      </w:r>
      <w:r w:rsidR="00D5264F">
        <w:rPr>
          <w:b w:val="0"/>
        </w:rPr>
        <w:t xml:space="preserve"> für Stoffpreisgleitklausel</w:t>
      </w:r>
      <w:r w:rsidR="0087635C">
        <w:rPr>
          <w:b w:val="0"/>
        </w:rPr>
        <w:t xml:space="preserve"> </w:t>
      </w:r>
      <w:r w:rsidR="0087635C" w:rsidRPr="0087635C">
        <w:rPr>
          <w:b w:val="0"/>
        </w:rPr>
        <w:t>Nichteisenmetalle (NEM)</w:t>
      </w:r>
      <w:r w:rsidR="001643EF" w:rsidRPr="00F8463F">
        <w:rPr>
          <w:b w:val="0"/>
        </w:rPr>
        <w:t xml:space="preserve">“ angegebene </w:t>
      </w:r>
      <w:r w:rsidR="006C7837">
        <w:rPr>
          <w:b w:val="0"/>
        </w:rPr>
        <w:t>Position (</w:t>
      </w:r>
      <w:r w:rsidR="001643EF" w:rsidRPr="00F8463F">
        <w:rPr>
          <w:b w:val="0"/>
        </w:rPr>
        <w:t>OZ</w:t>
      </w:r>
      <w:r w:rsidR="006C7837">
        <w:rPr>
          <w:b w:val="0"/>
        </w:rPr>
        <w:t>)</w:t>
      </w:r>
      <w:r w:rsidR="001643EF" w:rsidRPr="00F8463F">
        <w:rPr>
          <w:b w:val="0"/>
        </w:rPr>
        <w:t xml:space="preserve"> und der nachgewiese</w:t>
      </w:r>
      <w:r w:rsidR="00FA1AC5">
        <w:rPr>
          <w:b w:val="0"/>
        </w:rPr>
        <w:t xml:space="preserve">nen Menge (vgl. </w:t>
      </w:r>
      <w:r w:rsidR="00FC0FDD">
        <w:rPr>
          <w:b w:val="0"/>
        </w:rPr>
        <w:t>Nummer</w:t>
      </w:r>
      <w:r w:rsidR="00FA1AC5">
        <w:rPr>
          <w:b w:val="0"/>
        </w:rPr>
        <w:t xml:space="preserve"> 2) unter Be</w:t>
      </w:r>
      <w:r w:rsidR="001643EF" w:rsidRPr="00F8463F">
        <w:rPr>
          <w:b w:val="0"/>
        </w:rPr>
        <w:t xml:space="preserve">rücksichtigung </w:t>
      </w:r>
      <w:r w:rsidR="00FA1AC5">
        <w:rPr>
          <w:b w:val="0"/>
        </w:rPr>
        <w:t xml:space="preserve">der Selbstbeteiligung gemäß </w:t>
      </w:r>
      <w:r w:rsidR="00FC0FDD">
        <w:rPr>
          <w:b w:val="0"/>
        </w:rPr>
        <w:t>Nummer</w:t>
      </w:r>
      <w:r w:rsidR="00FA1AC5">
        <w:rPr>
          <w:b w:val="0"/>
        </w:rPr>
        <w:t> </w:t>
      </w:r>
      <w:r w:rsidR="001643EF" w:rsidRPr="00F8463F">
        <w:rPr>
          <w:b w:val="0"/>
        </w:rPr>
        <w:t>2.</w:t>
      </w:r>
      <w:r w:rsidR="00D5264F">
        <w:rPr>
          <w:b w:val="0"/>
        </w:rPr>
        <w:t>4</w:t>
      </w:r>
      <w:r w:rsidR="001643EF" w:rsidRPr="00F8463F">
        <w:rPr>
          <w:b w:val="0"/>
        </w:rPr>
        <w:t xml:space="preserve"> und 2.</w:t>
      </w:r>
      <w:r w:rsidR="00D5264F">
        <w:rPr>
          <w:b w:val="0"/>
        </w:rPr>
        <w:t>5</w:t>
      </w:r>
      <w:r w:rsidR="001643EF" w:rsidRPr="00F8463F">
        <w:rPr>
          <w:b w:val="0"/>
        </w:rPr>
        <w:t xml:space="preserve"> zusätzlich zum Angebotspreis vergütet bzw. von diesem abgezogen.</w:t>
      </w:r>
    </w:p>
    <w:p w:rsidR="00D5264F" w:rsidRDefault="00D5264F" w:rsidP="00D5264F">
      <w:pPr>
        <w:pStyle w:val="berschrift1"/>
      </w:pPr>
      <w:r>
        <w:t xml:space="preserve">Abrechnung bei </w:t>
      </w:r>
      <w:r w:rsidRPr="00D5264F">
        <w:t>Nachunternehmen</w:t>
      </w:r>
      <w:r>
        <w:t>/anderen Unternehmen</w:t>
      </w:r>
    </w:p>
    <w:p w:rsidR="00D5264F" w:rsidRPr="00D5264F" w:rsidRDefault="00D5264F" w:rsidP="00496980">
      <w:pPr>
        <w:pStyle w:val="Text"/>
      </w:pPr>
      <w:r w:rsidRPr="00D5264F">
        <w:t>Bei Weitergabe von Vertragsleistungen, die von der Stoffpreisgleitklausel betroffen sind, findet diese in Bezug auf die weitergegebenen Leistungen nur Anwendung, wenn und soweit der Auftragnehmer dem Auftraggeber nachweist, dass die gegen</w:t>
      </w:r>
      <w:r w:rsidR="00FA1AC5">
        <w:t xml:space="preserve">über dem Auftraggeber gemäß </w:t>
      </w:r>
      <w:r w:rsidR="00FC0FDD">
        <w:t>Nummer</w:t>
      </w:r>
      <w:r w:rsidR="00FA1AC5">
        <w:t> </w:t>
      </w:r>
      <w:r w:rsidRPr="00D5264F">
        <w:t>3 geltend gemach</w:t>
      </w:r>
      <w:r w:rsidR="006016EC">
        <w:softHyphen/>
      </w:r>
      <w:r w:rsidRPr="00D5264F">
        <w:t xml:space="preserve">ten Mehraufwendungen </w:t>
      </w:r>
      <w:r w:rsidR="0061478E">
        <w:t>entstanden sind</w:t>
      </w:r>
      <w:r w:rsidRPr="00D5264F">
        <w:t xml:space="preserve">. Bei Preissenkungen und damit verbundenen </w:t>
      </w:r>
      <w:r w:rsidR="006016EC" w:rsidRPr="00D5264F">
        <w:t>Minder</w:t>
      </w:r>
      <w:r w:rsidR="0052483D">
        <w:t>-a</w:t>
      </w:r>
      <w:r w:rsidR="006016EC">
        <w:t>ufwendungen</w:t>
      </w:r>
      <w:r w:rsidR="00F56A9B" w:rsidRPr="00D5264F">
        <w:t xml:space="preserve"> </w:t>
      </w:r>
      <w:r w:rsidRPr="00D5264F">
        <w:t>muss ein entsprechender Nachweis nicht geführt werden.</w:t>
      </w:r>
    </w:p>
    <w:sectPr w:rsidR="00D5264F" w:rsidRPr="00D5264F" w:rsidSect="00500C2B">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4C" w:rsidRDefault="00D1754C">
      <w:r>
        <w:separator/>
      </w:r>
    </w:p>
    <w:p w:rsidR="00D1754C" w:rsidRDefault="00D1754C"/>
    <w:p w:rsidR="00D1754C" w:rsidRDefault="00D1754C"/>
  </w:endnote>
  <w:endnote w:type="continuationSeparator" w:id="0">
    <w:p w:rsidR="00D1754C" w:rsidRDefault="00D1754C">
      <w:r>
        <w:continuationSeparator/>
      </w:r>
    </w:p>
    <w:p w:rsidR="00D1754C" w:rsidRDefault="00D1754C"/>
    <w:p w:rsidR="00D1754C" w:rsidRDefault="00D17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D1754C" w:rsidRPr="00D6072E" w:rsidTr="004962C0">
      <w:trPr>
        <w:cantSplit/>
        <w:trHeight w:hRule="exact" w:val="397"/>
      </w:trPr>
      <w:tc>
        <w:tcPr>
          <w:tcW w:w="147" w:type="dxa"/>
          <w:vAlign w:val="center"/>
        </w:tcPr>
        <w:p w:rsidR="00D1754C" w:rsidRPr="00D6072E" w:rsidRDefault="00D1754C" w:rsidP="00D6072E">
          <w:pPr>
            <w:jc w:val="center"/>
            <w:rPr>
              <w:b/>
              <w:sz w:val="16"/>
              <w:szCs w:val="16"/>
            </w:rPr>
          </w:pPr>
          <w:r w:rsidRPr="00D6072E">
            <w:rPr>
              <w:rFonts w:cs="Arial"/>
              <w:b/>
              <w:sz w:val="16"/>
              <w:szCs w:val="16"/>
            </w:rPr>
            <w:t>©</w:t>
          </w:r>
        </w:p>
      </w:tc>
      <w:tc>
        <w:tcPr>
          <w:tcW w:w="621" w:type="dxa"/>
          <w:vAlign w:val="center"/>
        </w:tcPr>
        <w:p w:rsidR="00D1754C" w:rsidRPr="00D6072E" w:rsidRDefault="00D1754C" w:rsidP="00D6072E">
          <w:pPr>
            <w:jc w:val="center"/>
            <w:rPr>
              <w:b/>
              <w:sz w:val="16"/>
              <w:szCs w:val="16"/>
            </w:rPr>
          </w:pPr>
          <w:r>
            <w:rPr>
              <w:rFonts w:cs="Arial"/>
              <w:b/>
              <w:noProof/>
              <w:sz w:val="16"/>
              <w:szCs w:val="16"/>
            </w:rPr>
            <w:drawing>
              <wp:inline distT="0" distB="0" distL="0" distR="0" wp14:anchorId="32060B28" wp14:editId="2CE6D892">
                <wp:extent cx="361950" cy="257175"/>
                <wp:effectExtent l="0" t="0" r="0" b="9525"/>
                <wp:docPr id="3"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Beschreibung: Beschreibung: 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p>
      </w:tc>
      <w:tc>
        <w:tcPr>
          <w:tcW w:w="7512" w:type="dxa"/>
          <w:vAlign w:val="center"/>
        </w:tcPr>
        <w:p w:rsidR="00D1754C" w:rsidRPr="00D6072E" w:rsidRDefault="00D1754C" w:rsidP="00FC0FDD">
          <w:pPr>
            <w:tabs>
              <w:tab w:val="left" w:pos="84"/>
            </w:tabs>
            <w:jc w:val="left"/>
            <w:rPr>
              <w:rFonts w:cs="Arial"/>
              <w:b/>
              <w:sz w:val="16"/>
              <w:szCs w:val="16"/>
            </w:rPr>
          </w:pPr>
          <w:r w:rsidRPr="00D6072E">
            <w:rPr>
              <w:rFonts w:cs="Arial"/>
              <w:b/>
              <w:sz w:val="16"/>
              <w:szCs w:val="16"/>
            </w:rPr>
            <w:tab/>
            <w:t xml:space="preserve">VHB - Bund - Ausgabe </w:t>
          </w:r>
          <w:r w:rsidR="002F34F8">
            <w:rPr>
              <w:rFonts w:cs="Arial"/>
              <w:b/>
              <w:sz w:val="16"/>
              <w:szCs w:val="16"/>
            </w:rPr>
            <w:t>201</w:t>
          </w:r>
          <w:r w:rsidR="00FC0FDD">
            <w:rPr>
              <w:rFonts w:cs="Arial"/>
              <w:b/>
              <w:sz w:val="16"/>
              <w:szCs w:val="16"/>
            </w:rPr>
            <w:t>7</w:t>
          </w:r>
        </w:p>
      </w:tc>
      <w:tc>
        <w:tcPr>
          <w:tcW w:w="1440" w:type="dxa"/>
          <w:vAlign w:val="center"/>
        </w:tcPr>
        <w:p w:rsidR="00D1754C" w:rsidRPr="00D6072E" w:rsidRDefault="00D1754C"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2522B0">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2522B0">
            <w:rPr>
              <w:rFonts w:cs="Arial"/>
              <w:b/>
              <w:noProof/>
              <w:snapToGrid w:val="0"/>
              <w:sz w:val="16"/>
              <w:szCs w:val="16"/>
            </w:rPr>
            <w:t>2</w:t>
          </w:r>
          <w:r w:rsidRPr="00D6072E">
            <w:rPr>
              <w:rFonts w:cs="Arial"/>
              <w:b/>
              <w:snapToGrid w:val="0"/>
              <w:sz w:val="16"/>
              <w:szCs w:val="16"/>
            </w:rPr>
            <w:fldChar w:fldCharType="end"/>
          </w:r>
        </w:p>
      </w:tc>
    </w:tr>
  </w:tbl>
  <w:p w:rsidR="00D1754C" w:rsidRPr="00046C8E" w:rsidRDefault="00D175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4C" w:rsidRDefault="00D1754C">
      <w:r>
        <w:separator/>
      </w:r>
    </w:p>
    <w:p w:rsidR="00D1754C" w:rsidRDefault="00D1754C"/>
    <w:p w:rsidR="00D1754C" w:rsidRDefault="00D1754C"/>
  </w:footnote>
  <w:footnote w:type="continuationSeparator" w:id="0">
    <w:p w:rsidR="00D1754C" w:rsidRDefault="00D1754C">
      <w:r>
        <w:continuationSeparator/>
      </w:r>
    </w:p>
    <w:p w:rsidR="00D1754C" w:rsidRDefault="00D1754C"/>
    <w:p w:rsidR="00D1754C" w:rsidRDefault="00D17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4C" w:rsidRDefault="00D1754C"/>
  <w:p w:rsidR="00D1754C" w:rsidRDefault="00D17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4C" w:rsidRDefault="00D1754C" w:rsidP="00046C8E">
    <w:pPr>
      <w:pStyle w:val="Kopfzeile"/>
    </w:pPr>
    <w:r>
      <w:t>228</w:t>
    </w:r>
  </w:p>
  <w:p w:rsidR="00D1754C" w:rsidRPr="00AB4B05" w:rsidRDefault="00D1754C" w:rsidP="00AB4B05">
    <w:pPr>
      <w:pStyle w:val="UnterKopfzeile"/>
    </w:pPr>
    <w:r>
      <w:t>(Stoffpreisgleitklausel Nichteisenmetalle (NEM))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82"/>
    <w:multiLevelType w:val="multilevel"/>
    <w:tmpl w:val="36D2955A"/>
    <w:styleLink w:val="FormatvorlageAufgezhltFett"/>
    <w:lvl w:ilvl="0">
      <w:numFmt w:val="bullet"/>
      <w:lvlText w:val="-"/>
      <w:lvlJc w:val="left"/>
      <w:pPr>
        <w:tabs>
          <w:tab w:val="num" w:pos="1134"/>
        </w:tabs>
        <w:ind w:left="1134" w:hanging="283"/>
      </w:pPr>
      <w:rPr>
        <w:rFonts w:ascii="Arial" w:hAnsi="Arial"/>
        <w:dstrike w:val="0"/>
        <w:sz w:val="20"/>
        <w:vertAlign w:val="baseline"/>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1">
    <w:nsid w:val="09C90FB4"/>
    <w:multiLevelType w:val="multilevel"/>
    <w:tmpl w:val="27984CE2"/>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1A015E66"/>
    <w:multiLevelType w:val="hybridMultilevel"/>
    <w:tmpl w:val="1E8EAD0E"/>
    <w:lvl w:ilvl="0" w:tplc="02E66E98">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nsid w:val="3E5C0632"/>
    <w:multiLevelType w:val="multilevel"/>
    <w:tmpl w:val="36D2955A"/>
    <w:numStyleLink w:val="FormatvorlageAufgezhltFett"/>
  </w:abstractNum>
  <w:abstractNum w:abstractNumId="4">
    <w:nsid w:val="6B736729"/>
    <w:multiLevelType w:val="hybridMultilevel"/>
    <w:tmpl w:val="A53EC69C"/>
    <w:lvl w:ilvl="0" w:tplc="53868E84">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76601CA9"/>
    <w:multiLevelType w:val="multilevel"/>
    <w:tmpl w:val="36D2955A"/>
    <w:numStyleLink w:val="FormatvorlageAufgezhltFett"/>
  </w:abstractNum>
  <w:num w:numId="1">
    <w:abstractNumId w:val="1"/>
  </w:num>
  <w:num w:numId="2">
    <w:abstractNumId w:val="0"/>
  </w:num>
  <w:num w:numId="3">
    <w:abstractNumId w:val="5"/>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FETAB"/>
  </w:docVars>
  <w:rsids>
    <w:rsidRoot w:val="001643EF"/>
    <w:rsid w:val="000021DC"/>
    <w:rsid w:val="0000737B"/>
    <w:rsid w:val="000114D3"/>
    <w:rsid w:val="00044EA0"/>
    <w:rsid w:val="00046C8E"/>
    <w:rsid w:val="00051851"/>
    <w:rsid w:val="00066731"/>
    <w:rsid w:val="0006675C"/>
    <w:rsid w:val="00081305"/>
    <w:rsid w:val="000848E7"/>
    <w:rsid w:val="00086E4C"/>
    <w:rsid w:val="000976E1"/>
    <w:rsid w:val="000A42AA"/>
    <w:rsid w:val="000B0E11"/>
    <w:rsid w:val="000C656A"/>
    <w:rsid w:val="00101CB6"/>
    <w:rsid w:val="001028D9"/>
    <w:rsid w:val="00106076"/>
    <w:rsid w:val="00115E27"/>
    <w:rsid w:val="00127C79"/>
    <w:rsid w:val="00132642"/>
    <w:rsid w:val="001426F7"/>
    <w:rsid w:val="00145413"/>
    <w:rsid w:val="00145D06"/>
    <w:rsid w:val="00147EB4"/>
    <w:rsid w:val="001623BC"/>
    <w:rsid w:val="001643EF"/>
    <w:rsid w:val="00167A87"/>
    <w:rsid w:val="00187159"/>
    <w:rsid w:val="001A6205"/>
    <w:rsid w:val="001B1185"/>
    <w:rsid w:val="001B705C"/>
    <w:rsid w:val="001C3E5C"/>
    <w:rsid w:val="001C509D"/>
    <w:rsid w:val="001C664A"/>
    <w:rsid w:val="001E0C92"/>
    <w:rsid w:val="001F47CC"/>
    <w:rsid w:val="00204927"/>
    <w:rsid w:val="00226A6B"/>
    <w:rsid w:val="002372F6"/>
    <w:rsid w:val="002441F7"/>
    <w:rsid w:val="002517FD"/>
    <w:rsid w:val="002522B0"/>
    <w:rsid w:val="002563CC"/>
    <w:rsid w:val="00261857"/>
    <w:rsid w:val="00263542"/>
    <w:rsid w:val="002748DF"/>
    <w:rsid w:val="002C0F7B"/>
    <w:rsid w:val="002C403D"/>
    <w:rsid w:val="002E4302"/>
    <w:rsid w:val="002F00B3"/>
    <w:rsid w:val="002F222B"/>
    <w:rsid w:val="002F34F8"/>
    <w:rsid w:val="002F4952"/>
    <w:rsid w:val="00326505"/>
    <w:rsid w:val="00327698"/>
    <w:rsid w:val="003512DE"/>
    <w:rsid w:val="003523F0"/>
    <w:rsid w:val="003552CC"/>
    <w:rsid w:val="00355C7F"/>
    <w:rsid w:val="00374055"/>
    <w:rsid w:val="00390A7B"/>
    <w:rsid w:val="003A0E70"/>
    <w:rsid w:val="003A36E9"/>
    <w:rsid w:val="003D3E99"/>
    <w:rsid w:val="003E2CD4"/>
    <w:rsid w:val="003F7758"/>
    <w:rsid w:val="00402A1B"/>
    <w:rsid w:val="00402AC3"/>
    <w:rsid w:val="00424038"/>
    <w:rsid w:val="00444A7E"/>
    <w:rsid w:val="0045228F"/>
    <w:rsid w:val="00454471"/>
    <w:rsid w:val="0045726B"/>
    <w:rsid w:val="0047055A"/>
    <w:rsid w:val="00480ABD"/>
    <w:rsid w:val="004818FE"/>
    <w:rsid w:val="00492429"/>
    <w:rsid w:val="004962C0"/>
    <w:rsid w:val="00496980"/>
    <w:rsid w:val="004A7CF5"/>
    <w:rsid w:val="004B5700"/>
    <w:rsid w:val="004C5609"/>
    <w:rsid w:val="004D3F30"/>
    <w:rsid w:val="004D7AFA"/>
    <w:rsid w:val="004E07A5"/>
    <w:rsid w:val="004E3711"/>
    <w:rsid w:val="004F432A"/>
    <w:rsid w:val="00500C2B"/>
    <w:rsid w:val="00515FDA"/>
    <w:rsid w:val="00520D3B"/>
    <w:rsid w:val="0052483D"/>
    <w:rsid w:val="00525BB5"/>
    <w:rsid w:val="005333C9"/>
    <w:rsid w:val="005575B0"/>
    <w:rsid w:val="00573601"/>
    <w:rsid w:val="00574488"/>
    <w:rsid w:val="00576C66"/>
    <w:rsid w:val="00587F43"/>
    <w:rsid w:val="005A4489"/>
    <w:rsid w:val="005B3E16"/>
    <w:rsid w:val="005C301C"/>
    <w:rsid w:val="005C41DA"/>
    <w:rsid w:val="005C5EAD"/>
    <w:rsid w:val="005F32A5"/>
    <w:rsid w:val="005F41CD"/>
    <w:rsid w:val="006016EC"/>
    <w:rsid w:val="00603B50"/>
    <w:rsid w:val="00605DD3"/>
    <w:rsid w:val="00606550"/>
    <w:rsid w:val="00607D6A"/>
    <w:rsid w:val="00607EE7"/>
    <w:rsid w:val="006123A6"/>
    <w:rsid w:val="00614636"/>
    <w:rsid w:val="0061478E"/>
    <w:rsid w:val="00626E10"/>
    <w:rsid w:val="00632B88"/>
    <w:rsid w:val="00640260"/>
    <w:rsid w:val="0064144F"/>
    <w:rsid w:val="00643351"/>
    <w:rsid w:val="0066119D"/>
    <w:rsid w:val="00661F8F"/>
    <w:rsid w:val="00667DCD"/>
    <w:rsid w:val="006A3552"/>
    <w:rsid w:val="006A5AED"/>
    <w:rsid w:val="006A66F3"/>
    <w:rsid w:val="006B2887"/>
    <w:rsid w:val="006B7CF1"/>
    <w:rsid w:val="006C66F2"/>
    <w:rsid w:val="006C7837"/>
    <w:rsid w:val="006D70A3"/>
    <w:rsid w:val="007171E9"/>
    <w:rsid w:val="00724CA7"/>
    <w:rsid w:val="00734EDE"/>
    <w:rsid w:val="00737790"/>
    <w:rsid w:val="00745D57"/>
    <w:rsid w:val="007547F9"/>
    <w:rsid w:val="00757770"/>
    <w:rsid w:val="007633C2"/>
    <w:rsid w:val="00764B26"/>
    <w:rsid w:val="0078194F"/>
    <w:rsid w:val="00782E76"/>
    <w:rsid w:val="0078695C"/>
    <w:rsid w:val="007A5A75"/>
    <w:rsid w:val="007E61DB"/>
    <w:rsid w:val="007E6BE8"/>
    <w:rsid w:val="0081723D"/>
    <w:rsid w:val="00823C76"/>
    <w:rsid w:val="008616D5"/>
    <w:rsid w:val="008645D0"/>
    <w:rsid w:val="008663D2"/>
    <w:rsid w:val="0087283F"/>
    <w:rsid w:val="0087635C"/>
    <w:rsid w:val="00892CB2"/>
    <w:rsid w:val="008A7F41"/>
    <w:rsid w:val="008B1F06"/>
    <w:rsid w:val="008B743F"/>
    <w:rsid w:val="008C0E9E"/>
    <w:rsid w:val="008D764D"/>
    <w:rsid w:val="008E4DA2"/>
    <w:rsid w:val="008F25FB"/>
    <w:rsid w:val="008F52AA"/>
    <w:rsid w:val="008F5DA6"/>
    <w:rsid w:val="008F6547"/>
    <w:rsid w:val="008F729C"/>
    <w:rsid w:val="00910F0B"/>
    <w:rsid w:val="00912964"/>
    <w:rsid w:val="00962412"/>
    <w:rsid w:val="00964DAB"/>
    <w:rsid w:val="0097166A"/>
    <w:rsid w:val="00976426"/>
    <w:rsid w:val="009769C9"/>
    <w:rsid w:val="009A27BF"/>
    <w:rsid w:val="009A3215"/>
    <w:rsid w:val="009A33B4"/>
    <w:rsid w:val="009C14BE"/>
    <w:rsid w:val="009F0DC8"/>
    <w:rsid w:val="00A00872"/>
    <w:rsid w:val="00A22EF3"/>
    <w:rsid w:val="00A5084B"/>
    <w:rsid w:val="00A5347C"/>
    <w:rsid w:val="00A75824"/>
    <w:rsid w:val="00A90C84"/>
    <w:rsid w:val="00AA652A"/>
    <w:rsid w:val="00AB4B05"/>
    <w:rsid w:val="00AC02E8"/>
    <w:rsid w:val="00AC3F03"/>
    <w:rsid w:val="00AC40EF"/>
    <w:rsid w:val="00AC56D5"/>
    <w:rsid w:val="00AC6CC9"/>
    <w:rsid w:val="00AC7F2D"/>
    <w:rsid w:val="00AD213C"/>
    <w:rsid w:val="00AD584D"/>
    <w:rsid w:val="00AE2712"/>
    <w:rsid w:val="00AE4AF0"/>
    <w:rsid w:val="00AE60F4"/>
    <w:rsid w:val="00AF73B8"/>
    <w:rsid w:val="00B003C3"/>
    <w:rsid w:val="00B14EF0"/>
    <w:rsid w:val="00B23C01"/>
    <w:rsid w:val="00B2618F"/>
    <w:rsid w:val="00B36DEB"/>
    <w:rsid w:val="00B40909"/>
    <w:rsid w:val="00B434E5"/>
    <w:rsid w:val="00B61D2B"/>
    <w:rsid w:val="00B621B9"/>
    <w:rsid w:val="00B722FB"/>
    <w:rsid w:val="00B7454B"/>
    <w:rsid w:val="00B75B2D"/>
    <w:rsid w:val="00B937F5"/>
    <w:rsid w:val="00B957D6"/>
    <w:rsid w:val="00B96ADB"/>
    <w:rsid w:val="00B96B7B"/>
    <w:rsid w:val="00BA5E42"/>
    <w:rsid w:val="00BB6266"/>
    <w:rsid w:val="00BC35EE"/>
    <w:rsid w:val="00BF68C7"/>
    <w:rsid w:val="00C03396"/>
    <w:rsid w:val="00C101BF"/>
    <w:rsid w:val="00C10C2F"/>
    <w:rsid w:val="00C246AC"/>
    <w:rsid w:val="00C26124"/>
    <w:rsid w:val="00C2678D"/>
    <w:rsid w:val="00C30192"/>
    <w:rsid w:val="00C74C19"/>
    <w:rsid w:val="00C764C5"/>
    <w:rsid w:val="00C96E57"/>
    <w:rsid w:val="00CD54C7"/>
    <w:rsid w:val="00CE4ADB"/>
    <w:rsid w:val="00CF0C08"/>
    <w:rsid w:val="00CF28A8"/>
    <w:rsid w:val="00CF64C4"/>
    <w:rsid w:val="00D05C74"/>
    <w:rsid w:val="00D1754C"/>
    <w:rsid w:val="00D2158D"/>
    <w:rsid w:val="00D36F55"/>
    <w:rsid w:val="00D41D0F"/>
    <w:rsid w:val="00D426F5"/>
    <w:rsid w:val="00D52587"/>
    <w:rsid w:val="00D5264F"/>
    <w:rsid w:val="00D6072E"/>
    <w:rsid w:val="00D8035D"/>
    <w:rsid w:val="00D97364"/>
    <w:rsid w:val="00DA276D"/>
    <w:rsid w:val="00DB6C0D"/>
    <w:rsid w:val="00DC2AC1"/>
    <w:rsid w:val="00DC2EA6"/>
    <w:rsid w:val="00DC7E08"/>
    <w:rsid w:val="00DD36EB"/>
    <w:rsid w:val="00DD5025"/>
    <w:rsid w:val="00DE2F64"/>
    <w:rsid w:val="00DE420C"/>
    <w:rsid w:val="00E02FAA"/>
    <w:rsid w:val="00E03BE4"/>
    <w:rsid w:val="00E1197E"/>
    <w:rsid w:val="00E17EB4"/>
    <w:rsid w:val="00E22381"/>
    <w:rsid w:val="00E228D8"/>
    <w:rsid w:val="00E2362F"/>
    <w:rsid w:val="00E322E9"/>
    <w:rsid w:val="00E578EB"/>
    <w:rsid w:val="00E6087B"/>
    <w:rsid w:val="00E67E13"/>
    <w:rsid w:val="00E85EBB"/>
    <w:rsid w:val="00EA10EB"/>
    <w:rsid w:val="00EA215E"/>
    <w:rsid w:val="00EC7AED"/>
    <w:rsid w:val="00EF5FA3"/>
    <w:rsid w:val="00F133C2"/>
    <w:rsid w:val="00F21669"/>
    <w:rsid w:val="00F32C49"/>
    <w:rsid w:val="00F347E3"/>
    <w:rsid w:val="00F37ED3"/>
    <w:rsid w:val="00F408D9"/>
    <w:rsid w:val="00F56A9B"/>
    <w:rsid w:val="00F57CA3"/>
    <w:rsid w:val="00F75135"/>
    <w:rsid w:val="00F76B6C"/>
    <w:rsid w:val="00F8463F"/>
    <w:rsid w:val="00F85132"/>
    <w:rsid w:val="00F92745"/>
    <w:rsid w:val="00F92CF7"/>
    <w:rsid w:val="00FA0151"/>
    <w:rsid w:val="00FA1AC5"/>
    <w:rsid w:val="00FA77AD"/>
    <w:rsid w:val="00FB37F2"/>
    <w:rsid w:val="00FC0982"/>
    <w:rsid w:val="00FC0FDD"/>
    <w:rsid w:val="00FC1057"/>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
      </w:numPr>
      <w:spacing w:before="60" w:after="120"/>
      <w:outlineLvl w:val="1"/>
    </w:pPr>
    <w:rPr>
      <w:rFonts w:cs="Arial"/>
      <w:b/>
      <w:bCs/>
      <w:iCs/>
    </w:rPr>
  </w:style>
  <w:style w:type="paragraph" w:styleId="berschrift3">
    <w:name w:val="heading 3"/>
    <w:basedOn w:val="Standard"/>
    <w:next w:val="Standard"/>
    <w:qFormat/>
    <w:rsid w:val="00CD54C7"/>
    <w:pPr>
      <w:numPr>
        <w:ilvl w:val="2"/>
        <w:numId w:val="1"/>
      </w:numPr>
      <w:spacing w:after="60"/>
      <w:outlineLvl w:val="2"/>
    </w:pPr>
    <w:rPr>
      <w:rFonts w:cs="Arial"/>
      <w:bCs/>
    </w:rPr>
  </w:style>
  <w:style w:type="paragraph" w:styleId="berschrift4">
    <w:name w:val="heading 4"/>
    <w:basedOn w:val="Standard"/>
    <w:next w:val="Standard"/>
    <w:qFormat/>
    <w:rsid w:val="00CD54C7"/>
    <w:pPr>
      <w:numPr>
        <w:ilvl w:val="3"/>
        <w:numId w:val="1"/>
      </w:numPr>
      <w:spacing w:after="60"/>
      <w:outlineLvl w:val="3"/>
    </w:pPr>
    <w:rPr>
      <w:bCs/>
    </w:rPr>
  </w:style>
  <w:style w:type="paragraph" w:styleId="berschrift5">
    <w:name w:val="heading 5"/>
    <w:basedOn w:val="Standard"/>
    <w:next w:val="Standard"/>
    <w:qFormat/>
    <w:rsid w:val="00CD54C7"/>
    <w:pPr>
      <w:numPr>
        <w:ilvl w:val="4"/>
        <w:numId w:val="1"/>
      </w:numPr>
      <w:spacing w:before="240"/>
      <w:outlineLvl w:val="4"/>
    </w:pPr>
    <w:rPr>
      <w:b/>
      <w:bCs/>
      <w:i/>
      <w:iCs/>
      <w:sz w:val="26"/>
      <w:szCs w:val="26"/>
    </w:rPr>
  </w:style>
  <w:style w:type="paragraph" w:styleId="berschrift6">
    <w:name w:val="heading 6"/>
    <w:basedOn w:val="Standard"/>
    <w:next w:val="Standard"/>
    <w:qFormat/>
    <w:rsid w:val="00CD54C7"/>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F8463F"/>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145D06"/>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rsid w:val="00587F43"/>
    <w:rPr>
      <w:rFonts w:ascii="Arial" w:hAnsi="Arial"/>
      <w:vertAlign w:val="superscript"/>
    </w:rPr>
  </w:style>
  <w:style w:type="character" w:styleId="Seitenzahl">
    <w:name w:val="page number"/>
    <w:rsid w:val="007E61DB"/>
    <w:rPr>
      <w:rFonts w:ascii="Arial" w:hAnsi="Arial"/>
      <w:sz w:val="16"/>
    </w:rPr>
  </w:style>
  <w:style w:type="character" w:customStyle="1" w:styleId="TextZchn">
    <w:name w:val="Text Zchn"/>
    <w:link w:val="Text"/>
    <w:rsid w:val="00F8463F"/>
    <w:rPr>
      <w:rFonts w:ascii="Arial" w:hAnsi="Arial"/>
      <w:lang w:val="de-DE" w:eastAsia="de-DE" w:bidi="ar-SA"/>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402A1B"/>
    <w:pPr>
      <w:keepNext w:val="0"/>
      <w:tabs>
        <w:tab w:val="left" w:pos="284"/>
      </w:tabs>
      <w:ind w:left="284" w:hanging="284"/>
      <w:jc w:val="left"/>
    </w:pPr>
    <w:rPr>
      <w:szCs w:val="24"/>
    </w:rPr>
  </w:style>
  <w:style w:type="character" w:styleId="Hyperlink">
    <w:name w:val="Hyperlink"/>
    <w:rsid w:val="00DD36EB"/>
    <w:rPr>
      <w:color w:val="0000FF"/>
      <w:u w:val="single"/>
    </w:rPr>
  </w:style>
  <w:style w:type="table" w:styleId="Tabellenraster">
    <w:name w:val="Table Grid"/>
    <w:basedOn w:val="NormaleTabelle"/>
    <w:rsid w:val="006A3552"/>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nks">
    <w:name w:val="Textlinks"/>
    <w:basedOn w:val="Standard"/>
    <w:next w:val="Standard"/>
    <w:rsid w:val="00444A7E"/>
    <w:pPr>
      <w:keepNext w:val="0"/>
      <w:spacing w:after="60"/>
      <w:contextualSpacing/>
    </w:pPr>
    <w:rPr>
      <w:b/>
      <w:sz w:val="22"/>
    </w:rPr>
  </w:style>
  <w:style w:type="numbering" w:customStyle="1" w:styleId="FormatvorlageAufgezhltFett">
    <w:name w:val="Formatvorlage Aufgezählt Fett"/>
    <w:basedOn w:val="KeineListe"/>
    <w:rsid w:val="00374055"/>
    <w:pPr>
      <w:numPr>
        <w:numId w:val="2"/>
      </w:numPr>
    </w:pPr>
  </w:style>
  <w:style w:type="character" w:styleId="Kommentarzeichen">
    <w:name w:val="annotation reference"/>
    <w:rsid w:val="0064144F"/>
    <w:rPr>
      <w:sz w:val="16"/>
      <w:szCs w:val="16"/>
    </w:rPr>
  </w:style>
  <w:style w:type="paragraph" w:styleId="Kommentartext">
    <w:name w:val="annotation text"/>
    <w:basedOn w:val="Standard"/>
    <w:link w:val="KommentartextZchn"/>
    <w:rsid w:val="0064144F"/>
  </w:style>
  <w:style w:type="character" w:customStyle="1" w:styleId="KommentartextZchn">
    <w:name w:val="Kommentartext Zchn"/>
    <w:link w:val="Kommentartext"/>
    <w:rsid w:val="0064144F"/>
    <w:rPr>
      <w:rFonts w:ascii="Arial" w:hAnsi="Arial"/>
    </w:rPr>
  </w:style>
  <w:style w:type="paragraph" w:styleId="Kommentarthema">
    <w:name w:val="annotation subject"/>
    <w:basedOn w:val="Kommentartext"/>
    <w:next w:val="Kommentartext"/>
    <w:link w:val="KommentarthemaZchn"/>
    <w:rsid w:val="0064144F"/>
    <w:rPr>
      <w:b/>
      <w:bCs/>
    </w:rPr>
  </w:style>
  <w:style w:type="character" w:customStyle="1" w:styleId="KommentarthemaZchn">
    <w:name w:val="Kommentarthema Zchn"/>
    <w:link w:val="Kommentarthema"/>
    <w:rsid w:val="0064144F"/>
    <w:rPr>
      <w:rFonts w:ascii="Arial" w:hAnsi="Arial"/>
      <w:b/>
      <w:bCs/>
    </w:rPr>
  </w:style>
  <w:style w:type="character" w:styleId="Platzhaltertext">
    <w:name w:val="Placeholder Text"/>
    <w:uiPriority w:val="99"/>
    <w:semiHidden/>
    <w:rsid w:val="002372F6"/>
    <w:rPr>
      <w:color w:val="808080"/>
    </w:rPr>
  </w:style>
  <w:style w:type="paragraph" w:styleId="berarbeitung">
    <w:name w:val="Revision"/>
    <w:hidden/>
    <w:uiPriority w:val="99"/>
    <w:semiHidden/>
    <w:rsid w:val="00E228D8"/>
    <w:rPr>
      <w:rFonts w:ascii="Arial" w:hAnsi="Arial"/>
    </w:rPr>
  </w:style>
  <w:style w:type="character" w:styleId="BesuchterHyperlink">
    <w:name w:val="FollowedHyperlink"/>
    <w:basedOn w:val="Absatz-Standardschriftart"/>
    <w:rsid w:val="00AE2712"/>
    <w:rPr>
      <w:color w:val="800080" w:themeColor="followedHyperlink"/>
      <w:u w:val="single"/>
    </w:rPr>
  </w:style>
  <w:style w:type="paragraph" w:customStyle="1" w:styleId="Formatvorlage9Pt">
    <w:name w:val="Formatvorlage 9 Pt."/>
    <w:basedOn w:val="Standard"/>
    <w:rsid w:val="00F92745"/>
    <w:pPr>
      <w:spacing w:before="240"/>
    </w:pPr>
    <w:rPr>
      <w:sz w:val="18"/>
      <w:szCs w:val="18"/>
    </w:rPr>
  </w:style>
  <w:style w:type="paragraph" w:customStyle="1" w:styleId="Formatvorlage9Pt1">
    <w:name w:val="Formatvorlage 9 Pt.1"/>
    <w:basedOn w:val="Standard"/>
    <w:rsid w:val="00F57CA3"/>
    <w:pPr>
      <w:spacing w:before="2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
      </w:numPr>
      <w:spacing w:before="60" w:after="120"/>
      <w:outlineLvl w:val="1"/>
    </w:pPr>
    <w:rPr>
      <w:rFonts w:cs="Arial"/>
      <w:b/>
      <w:bCs/>
      <w:iCs/>
    </w:rPr>
  </w:style>
  <w:style w:type="paragraph" w:styleId="berschrift3">
    <w:name w:val="heading 3"/>
    <w:basedOn w:val="Standard"/>
    <w:next w:val="Standard"/>
    <w:qFormat/>
    <w:rsid w:val="00CD54C7"/>
    <w:pPr>
      <w:numPr>
        <w:ilvl w:val="2"/>
        <w:numId w:val="1"/>
      </w:numPr>
      <w:spacing w:after="60"/>
      <w:outlineLvl w:val="2"/>
    </w:pPr>
    <w:rPr>
      <w:rFonts w:cs="Arial"/>
      <w:bCs/>
    </w:rPr>
  </w:style>
  <w:style w:type="paragraph" w:styleId="berschrift4">
    <w:name w:val="heading 4"/>
    <w:basedOn w:val="Standard"/>
    <w:next w:val="Standard"/>
    <w:qFormat/>
    <w:rsid w:val="00CD54C7"/>
    <w:pPr>
      <w:numPr>
        <w:ilvl w:val="3"/>
        <w:numId w:val="1"/>
      </w:numPr>
      <w:spacing w:after="60"/>
      <w:outlineLvl w:val="3"/>
    </w:pPr>
    <w:rPr>
      <w:bCs/>
    </w:rPr>
  </w:style>
  <w:style w:type="paragraph" w:styleId="berschrift5">
    <w:name w:val="heading 5"/>
    <w:basedOn w:val="Standard"/>
    <w:next w:val="Standard"/>
    <w:qFormat/>
    <w:rsid w:val="00CD54C7"/>
    <w:pPr>
      <w:numPr>
        <w:ilvl w:val="4"/>
        <w:numId w:val="1"/>
      </w:numPr>
      <w:spacing w:before="240"/>
      <w:outlineLvl w:val="4"/>
    </w:pPr>
    <w:rPr>
      <w:b/>
      <w:bCs/>
      <w:i/>
      <w:iCs/>
      <w:sz w:val="26"/>
      <w:szCs w:val="26"/>
    </w:rPr>
  </w:style>
  <w:style w:type="paragraph" w:styleId="berschrift6">
    <w:name w:val="heading 6"/>
    <w:basedOn w:val="Standard"/>
    <w:next w:val="Standard"/>
    <w:qFormat/>
    <w:rsid w:val="00CD54C7"/>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F8463F"/>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145D06"/>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rsid w:val="00587F43"/>
    <w:rPr>
      <w:rFonts w:ascii="Arial" w:hAnsi="Arial"/>
      <w:vertAlign w:val="superscript"/>
    </w:rPr>
  </w:style>
  <w:style w:type="character" w:styleId="Seitenzahl">
    <w:name w:val="page number"/>
    <w:rsid w:val="007E61DB"/>
    <w:rPr>
      <w:rFonts w:ascii="Arial" w:hAnsi="Arial"/>
      <w:sz w:val="16"/>
    </w:rPr>
  </w:style>
  <w:style w:type="character" w:customStyle="1" w:styleId="TextZchn">
    <w:name w:val="Text Zchn"/>
    <w:link w:val="Text"/>
    <w:rsid w:val="00F8463F"/>
    <w:rPr>
      <w:rFonts w:ascii="Arial" w:hAnsi="Arial"/>
      <w:lang w:val="de-DE" w:eastAsia="de-DE" w:bidi="ar-SA"/>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402A1B"/>
    <w:pPr>
      <w:keepNext w:val="0"/>
      <w:tabs>
        <w:tab w:val="left" w:pos="284"/>
      </w:tabs>
      <w:ind w:left="284" w:hanging="284"/>
      <w:jc w:val="left"/>
    </w:pPr>
    <w:rPr>
      <w:szCs w:val="24"/>
    </w:rPr>
  </w:style>
  <w:style w:type="character" w:styleId="Hyperlink">
    <w:name w:val="Hyperlink"/>
    <w:rsid w:val="00DD36EB"/>
    <w:rPr>
      <w:color w:val="0000FF"/>
      <w:u w:val="single"/>
    </w:rPr>
  </w:style>
  <w:style w:type="table" w:styleId="Tabellenraster">
    <w:name w:val="Table Grid"/>
    <w:basedOn w:val="NormaleTabelle"/>
    <w:rsid w:val="006A3552"/>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nks">
    <w:name w:val="Textlinks"/>
    <w:basedOn w:val="Standard"/>
    <w:next w:val="Standard"/>
    <w:rsid w:val="00444A7E"/>
    <w:pPr>
      <w:keepNext w:val="0"/>
      <w:spacing w:after="60"/>
      <w:contextualSpacing/>
    </w:pPr>
    <w:rPr>
      <w:b/>
      <w:sz w:val="22"/>
    </w:rPr>
  </w:style>
  <w:style w:type="numbering" w:customStyle="1" w:styleId="FormatvorlageAufgezhltFett">
    <w:name w:val="Formatvorlage Aufgezählt Fett"/>
    <w:basedOn w:val="KeineListe"/>
    <w:rsid w:val="00374055"/>
    <w:pPr>
      <w:numPr>
        <w:numId w:val="2"/>
      </w:numPr>
    </w:pPr>
  </w:style>
  <w:style w:type="character" w:styleId="Kommentarzeichen">
    <w:name w:val="annotation reference"/>
    <w:rsid w:val="0064144F"/>
    <w:rPr>
      <w:sz w:val="16"/>
      <w:szCs w:val="16"/>
    </w:rPr>
  </w:style>
  <w:style w:type="paragraph" w:styleId="Kommentartext">
    <w:name w:val="annotation text"/>
    <w:basedOn w:val="Standard"/>
    <w:link w:val="KommentartextZchn"/>
    <w:rsid w:val="0064144F"/>
  </w:style>
  <w:style w:type="character" w:customStyle="1" w:styleId="KommentartextZchn">
    <w:name w:val="Kommentartext Zchn"/>
    <w:link w:val="Kommentartext"/>
    <w:rsid w:val="0064144F"/>
    <w:rPr>
      <w:rFonts w:ascii="Arial" w:hAnsi="Arial"/>
    </w:rPr>
  </w:style>
  <w:style w:type="paragraph" w:styleId="Kommentarthema">
    <w:name w:val="annotation subject"/>
    <w:basedOn w:val="Kommentartext"/>
    <w:next w:val="Kommentartext"/>
    <w:link w:val="KommentarthemaZchn"/>
    <w:rsid w:val="0064144F"/>
    <w:rPr>
      <w:b/>
      <w:bCs/>
    </w:rPr>
  </w:style>
  <w:style w:type="character" w:customStyle="1" w:styleId="KommentarthemaZchn">
    <w:name w:val="Kommentarthema Zchn"/>
    <w:link w:val="Kommentarthema"/>
    <w:rsid w:val="0064144F"/>
    <w:rPr>
      <w:rFonts w:ascii="Arial" w:hAnsi="Arial"/>
      <w:b/>
      <w:bCs/>
    </w:rPr>
  </w:style>
  <w:style w:type="character" w:styleId="Platzhaltertext">
    <w:name w:val="Placeholder Text"/>
    <w:uiPriority w:val="99"/>
    <w:semiHidden/>
    <w:rsid w:val="002372F6"/>
    <w:rPr>
      <w:color w:val="808080"/>
    </w:rPr>
  </w:style>
  <w:style w:type="paragraph" w:styleId="berarbeitung">
    <w:name w:val="Revision"/>
    <w:hidden/>
    <w:uiPriority w:val="99"/>
    <w:semiHidden/>
    <w:rsid w:val="00E228D8"/>
    <w:rPr>
      <w:rFonts w:ascii="Arial" w:hAnsi="Arial"/>
    </w:rPr>
  </w:style>
  <w:style w:type="character" w:styleId="BesuchterHyperlink">
    <w:name w:val="FollowedHyperlink"/>
    <w:basedOn w:val="Absatz-Standardschriftart"/>
    <w:rsid w:val="00AE2712"/>
    <w:rPr>
      <w:color w:val="800080" w:themeColor="followedHyperlink"/>
      <w:u w:val="single"/>
    </w:rPr>
  </w:style>
  <w:style w:type="paragraph" w:customStyle="1" w:styleId="Formatvorlage9Pt">
    <w:name w:val="Formatvorlage 9 Pt."/>
    <w:basedOn w:val="Standard"/>
    <w:rsid w:val="00F92745"/>
    <w:pPr>
      <w:spacing w:before="240"/>
    </w:pPr>
    <w:rPr>
      <w:sz w:val="18"/>
      <w:szCs w:val="18"/>
    </w:rPr>
  </w:style>
  <w:style w:type="paragraph" w:customStyle="1" w:styleId="Formatvorlage9Pt1">
    <w:name w:val="Formatvorlage 9 Pt.1"/>
    <w:basedOn w:val="Standard"/>
    <w:rsid w:val="00F57CA3"/>
    <w:pPr>
      <w:spacing w:before="2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l-not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365A-8F4B-48C8-BD74-625F43A2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FeTab.dot</Template>
  <TotalTime>0</TotalTime>
  <Pages>2</Pages>
  <Words>590</Words>
  <Characters>4228</Characters>
  <Application>Microsoft Office Word</Application>
  <DocSecurity>0</DocSecurity>
  <Lines>192</Lines>
  <Paragraphs>114</Paragraphs>
  <ScaleCrop>false</ScaleCrop>
  <HeadingPairs>
    <vt:vector size="2" baseType="variant">
      <vt:variant>
        <vt:lpstr>Titel</vt:lpstr>
      </vt:variant>
      <vt:variant>
        <vt:i4>1</vt:i4>
      </vt:variant>
    </vt:vector>
  </HeadingPairs>
  <TitlesOfParts>
    <vt:vector size="1" baseType="lpstr">
      <vt:lpstr>228 - Stoffpreisgleitklausel Nichteisenmetalle</vt:lpstr>
    </vt:vector>
  </TitlesOfParts>
  <Company>BBR</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228 - Stoffpreisgleitklausel Nichteisenmetalle</dc:title>
  <dc:subject>Stoffpreisgleitklausel NE-Metalle</dc:subject>
  <dc:creator>D.Fenner</dc:creator>
  <cp:keywords>Stoffpreisgleitklausel Nichteisenmetalle</cp:keywords>
  <cp:lastModifiedBy>Salzwedel</cp:lastModifiedBy>
  <cp:revision>14</cp:revision>
  <cp:lastPrinted>2014-07-01T06:25:00Z</cp:lastPrinted>
  <dcterms:created xsi:type="dcterms:W3CDTF">2014-09-29T13:44:00Z</dcterms:created>
  <dcterms:modified xsi:type="dcterms:W3CDTF">2017-08-21T14:14:00Z</dcterms:modified>
</cp:coreProperties>
</file>