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5541"/>
        <w:gridCol w:w="2587"/>
        <w:gridCol w:w="1795"/>
      </w:tblGrid>
      <w:tr w:rsidR="00B3372A" w:rsidRPr="001C55D1">
        <w:trPr>
          <w:trHeight w:val="284"/>
        </w:trPr>
        <w:tc>
          <w:tcPr>
            <w:tcW w:w="5541" w:type="dxa"/>
            <w:tcBorders>
              <w:top w:val="single" w:sz="4" w:space="0" w:color="808080"/>
              <w:right w:val="single" w:sz="4" w:space="0" w:color="808080"/>
            </w:tcBorders>
            <w:noWrap/>
            <w:tcMar>
              <w:top w:w="28" w:type="dxa"/>
              <w:left w:w="28" w:type="dxa"/>
              <w:bottom w:w="28" w:type="dxa"/>
              <w:right w:w="28" w:type="dxa"/>
            </w:tcMar>
            <w:vAlign w:val="center"/>
          </w:tcPr>
          <w:p w:rsidR="00B3372A" w:rsidRPr="001C55D1" w:rsidRDefault="00B3372A" w:rsidP="00361C5D">
            <w:bookmarkStart w:id="0" w:name="_GoBack"/>
            <w:bookmarkEnd w:id="0"/>
            <w:r>
              <w:t>Bieter</w:t>
            </w:r>
          </w:p>
        </w:tc>
        <w:tc>
          <w:tcPr>
            <w:tcW w:w="2587" w:type="dxa"/>
            <w:tcBorders>
              <w:top w:val="single" w:sz="4" w:space="0" w:color="808080"/>
              <w:left w:val="single" w:sz="4" w:space="0" w:color="808080"/>
              <w:bottom w:val="single" w:sz="4" w:space="0" w:color="808080"/>
              <w:right w:val="single" w:sz="4" w:space="0" w:color="808080"/>
            </w:tcBorders>
            <w:noWrap/>
            <w:vAlign w:val="center"/>
          </w:tcPr>
          <w:p w:rsidR="00B3372A" w:rsidRPr="001C55D1" w:rsidRDefault="00B3372A" w:rsidP="00361C5D">
            <w:r w:rsidRPr="001C55D1">
              <w:t>Vergabenummer</w:t>
            </w:r>
          </w:p>
        </w:tc>
        <w:tc>
          <w:tcPr>
            <w:tcW w:w="1795" w:type="dxa"/>
            <w:tcBorders>
              <w:top w:val="single" w:sz="4" w:space="0" w:color="808080"/>
              <w:left w:val="single" w:sz="4" w:space="0" w:color="808080"/>
              <w:bottom w:val="single" w:sz="4" w:space="0" w:color="808080"/>
            </w:tcBorders>
            <w:noWrap/>
            <w:vAlign w:val="center"/>
          </w:tcPr>
          <w:p w:rsidR="00B3372A" w:rsidRPr="001C55D1" w:rsidRDefault="00B3372A" w:rsidP="00361C5D">
            <w:r>
              <w:t>Datum</w:t>
            </w:r>
          </w:p>
        </w:tc>
      </w:tr>
      <w:tr w:rsidR="00B3372A" w:rsidRPr="0025285E">
        <w:trPr>
          <w:trHeight w:val="284"/>
        </w:trPr>
        <w:tc>
          <w:tcPr>
            <w:tcW w:w="5541" w:type="dxa"/>
            <w:tcBorders>
              <w:bottom w:val="single" w:sz="4" w:space="0" w:color="808080"/>
              <w:right w:val="single" w:sz="4" w:space="0" w:color="808080"/>
            </w:tcBorders>
            <w:noWrap/>
            <w:tcMar>
              <w:top w:w="28" w:type="dxa"/>
              <w:left w:w="28" w:type="dxa"/>
              <w:bottom w:w="28" w:type="dxa"/>
              <w:right w:w="28" w:type="dxa"/>
            </w:tcMar>
            <w:vAlign w:val="center"/>
          </w:tcPr>
          <w:p w:rsidR="00B3372A" w:rsidRPr="0025285E" w:rsidRDefault="00B3372A" w:rsidP="00361C5D">
            <w:pPr>
              <w:rPr>
                <w:b/>
              </w:rPr>
            </w:pPr>
          </w:p>
        </w:tc>
        <w:tc>
          <w:tcPr>
            <w:tcW w:w="2587" w:type="dxa"/>
            <w:tcBorders>
              <w:top w:val="single" w:sz="4" w:space="0" w:color="808080"/>
              <w:left w:val="single" w:sz="4" w:space="0" w:color="808080"/>
              <w:bottom w:val="single" w:sz="4" w:space="0" w:color="808080"/>
              <w:right w:val="single" w:sz="4" w:space="0" w:color="808080"/>
            </w:tcBorders>
            <w:noWrap/>
            <w:vAlign w:val="center"/>
          </w:tcPr>
          <w:p w:rsidR="00B3372A" w:rsidRPr="0025285E" w:rsidRDefault="00B3372A" w:rsidP="00361C5D">
            <w:pPr>
              <w:rPr>
                <w:b/>
              </w:rPr>
            </w:pPr>
          </w:p>
        </w:tc>
        <w:tc>
          <w:tcPr>
            <w:tcW w:w="1795" w:type="dxa"/>
            <w:tcBorders>
              <w:top w:val="single" w:sz="4" w:space="0" w:color="808080"/>
              <w:left w:val="single" w:sz="4" w:space="0" w:color="808080"/>
              <w:bottom w:val="single" w:sz="4" w:space="0" w:color="808080"/>
            </w:tcBorders>
            <w:noWrap/>
            <w:vAlign w:val="center"/>
          </w:tcPr>
          <w:p w:rsidR="00B3372A" w:rsidRPr="0025285E" w:rsidRDefault="00B3372A" w:rsidP="00361C5D">
            <w:pPr>
              <w:rPr>
                <w:b/>
              </w:rPr>
            </w:pPr>
          </w:p>
        </w:tc>
      </w:tr>
      <w:tr w:rsidR="00B3372A" w:rsidRPr="001C55D1">
        <w:trPr>
          <w:trHeight w:val="284"/>
        </w:trPr>
        <w:tc>
          <w:tcPr>
            <w:tcW w:w="5541" w:type="dxa"/>
            <w:tcBorders>
              <w:top w:val="single" w:sz="4" w:space="0" w:color="808080"/>
            </w:tcBorders>
            <w:noWrap/>
            <w:tcMar>
              <w:top w:w="28" w:type="dxa"/>
              <w:left w:w="28" w:type="dxa"/>
              <w:bottom w:w="28" w:type="dxa"/>
              <w:right w:w="28" w:type="dxa"/>
            </w:tcMar>
            <w:vAlign w:val="center"/>
          </w:tcPr>
          <w:p w:rsidR="00B3372A" w:rsidRPr="001C55D1" w:rsidRDefault="00B3372A" w:rsidP="00361C5D">
            <w:r w:rsidRPr="001C55D1">
              <w:t>Baumaßnahme</w:t>
            </w:r>
          </w:p>
        </w:tc>
        <w:tc>
          <w:tcPr>
            <w:tcW w:w="4382" w:type="dxa"/>
            <w:gridSpan w:val="2"/>
            <w:tcBorders>
              <w:top w:val="single" w:sz="4" w:space="0" w:color="808080"/>
            </w:tcBorders>
            <w:noWrap/>
            <w:vAlign w:val="center"/>
          </w:tcPr>
          <w:p w:rsidR="00B3372A" w:rsidRPr="001C55D1" w:rsidRDefault="00B3372A" w:rsidP="00361C5D"/>
        </w:tc>
      </w:tr>
      <w:tr w:rsidR="00B3372A" w:rsidRPr="001C55D1">
        <w:trPr>
          <w:trHeight w:val="284"/>
        </w:trPr>
        <w:tc>
          <w:tcPr>
            <w:tcW w:w="9923" w:type="dxa"/>
            <w:gridSpan w:val="3"/>
            <w:noWrap/>
            <w:tcMar>
              <w:top w:w="28" w:type="dxa"/>
              <w:left w:w="28" w:type="dxa"/>
              <w:bottom w:w="28" w:type="dxa"/>
              <w:right w:w="28" w:type="dxa"/>
            </w:tcMar>
            <w:vAlign w:val="center"/>
          </w:tcPr>
          <w:p w:rsidR="00B3372A" w:rsidRPr="001C55D1" w:rsidRDefault="00B3372A" w:rsidP="00361C5D"/>
        </w:tc>
      </w:tr>
      <w:tr w:rsidR="00B3372A" w:rsidRPr="001C55D1">
        <w:trPr>
          <w:trHeight w:val="284"/>
        </w:trPr>
        <w:tc>
          <w:tcPr>
            <w:tcW w:w="9923" w:type="dxa"/>
            <w:gridSpan w:val="3"/>
            <w:noWrap/>
            <w:tcMar>
              <w:top w:w="28" w:type="dxa"/>
              <w:left w:w="28" w:type="dxa"/>
              <w:bottom w:w="28" w:type="dxa"/>
              <w:right w:w="28" w:type="dxa"/>
            </w:tcMar>
            <w:vAlign w:val="center"/>
          </w:tcPr>
          <w:p w:rsidR="00B3372A" w:rsidRPr="001C55D1" w:rsidRDefault="00B3372A" w:rsidP="00361C5D"/>
        </w:tc>
      </w:tr>
      <w:tr w:rsidR="00B3372A" w:rsidRPr="001C55D1" w:rsidTr="0025285E">
        <w:trPr>
          <w:trHeight w:val="283"/>
        </w:trPr>
        <w:tc>
          <w:tcPr>
            <w:tcW w:w="5541" w:type="dxa"/>
            <w:tcBorders>
              <w:top w:val="single" w:sz="4" w:space="0" w:color="808080"/>
            </w:tcBorders>
            <w:noWrap/>
            <w:tcMar>
              <w:top w:w="28" w:type="dxa"/>
              <w:left w:w="28" w:type="dxa"/>
              <w:bottom w:w="28" w:type="dxa"/>
              <w:right w:w="28" w:type="dxa"/>
            </w:tcMar>
            <w:vAlign w:val="center"/>
          </w:tcPr>
          <w:p w:rsidR="00B3372A" w:rsidRPr="001C55D1" w:rsidRDefault="00F76423" w:rsidP="00361C5D">
            <w:r>
              <w:t>Leistung</w:t>
            </w:r>
          </w:p>
        </w:tc>
        <w:tc>
          <w:tcPr>
            <w:tcW w:w="4382" w:type="dxa"/>
            <w:gridSpan w:val="2"/>
            <w:tcBorders>
              <w:top w:val="single" w:sz="4" w:space="0" w:color="808080"/>
            </w:tcBorders>
            <w:noWrap/>
            <w:vAlign w:val="center"/>
          </w:tcPr>
          <w:p w:rsidR="00B3372A" w:rsidRPr="001C55D1" w:rsidRDefault="00B3372A" w:rsidP="00361C5D"/>
        </w:tc>
      </w:tr>
      <w:tr w:rsidR="00B3372A" w:rsidRPr="001C55D1">
        <w:trPr>
          <w:trHeight w:val="284"/>
        </w:trPr>
        <w:tc>
          <w:tcPr>
            <w:tcW w:w="9923" w:type="dxa"/>
            <w:gridSpan w:val="3"/>
            <w:noWrap/>
            <w:tcMar>
              <w:top w:w="28" w:type="dxa"/>
              <w:left w:w="28" w:type="dxa"/>
              <w:bottom w:w="28" w:type="dxa"/>
              <w:right w:w="28" w:type="dxa"/>
            </w:tcMar>
            <w:vAlign w:val="center"/>
          </w:tcPr>
          <w:p w:rsidR="00B3372A" w:rsidRPr="001C55D1" w:rsidRDefault="00B3372A" w:rsidP="00361C5D"/>
        </w:tc>
      </w:tr>
    </w:tbl>
    <w:p w:rsidR="00B3372A" w:rsidRPr="00B3372A" w:rsidRDefault="008051E9" w:rsidP="00BE0FEF">
      <w:pPr>
        <w:pStyle w:val="Oben"/>
      </w:pPr>
      <w:r>
        <w:t>G</w:t>
      </w:r>
      <w:r w:rsidR="00B3372A" w:rsidRPr="00B3372A">
        <w:t>leitklausel</w:t>
      </w:r>
      <w:r w:rsidR="00426780">
        <w:t xml:space="preserve"> </w:t>
      </w:r>
      <w:r w:rsidR="00426780" w:rsidRPr="00BE0FEF">
        <w:t>zum</w:t>
      </w:r>
      <w:r w:rsidR="00426780">
        <w:t xml:space="preserve"> Angebot</w:t>
      </w:r>
      <w:r>
        <w:t xml:space="preserve"> für den Abschluss einer Rahmenvereinbarung</w:t>
      </w:r>
    </w:p>
    <w:p w:rsidR="003806CB" w:rsidRPr="003806CB" w:rsidRDefault="003806CB" w:rsidP="003806CB">
      <w:r w:rsidRPr="003806CB">
        <w:t>Die Einheitspreise sind für die Dauer von 24 Monaten Festpreise. Ändert sich nach Ablauf dieser Frist der maßgebende Lohn oder Materialindex, können die Einheitspreise auf Verlangen jedes Vertragspartners nach folgender Preisgleitklausel angepasst werden:</w:t>
      </w:r>
    </w:p>
    <w:p w:rsidR="003806CB" w:rsidRDefault="003806CB" w:rsidP="003806CB">
      <w:pPr>
        <w:rPr>
          <w:i/>
        </w:rPr>
      </w:pPr>
      <m:oMathPara>
        <m:oMath>
          <m:r>
            <m:rPr>
              <m:sty m:val="p"/>
            </m:rPr>
            <w:rPr>
              <w:rFonts w:ascii="Cambria Math" w:hAnsi="Cambria Math" w:cs="Arial"/>
            </w:rPr>
            <m:t>EP</m:t>
          </m:r>
          <m:r>
            <m:rPr>
              <m:sty m:val="p"/>
            </m:rPr>
            <w:rPr>
              <w:rFonts w:ascii="Cambria Math" w:hAnsi="Cambria Math" w:cs="Arial"/>
              <w:spacing w:val="-20"/>
              <w:w w:val="80"/>
              <w:position w:val="-4"/>
            </w:rPr>
            <m:t>n</m:t>
          </m:r>
          <m:r>
            <m:rPr>
              <m:sty m:val="p"/>
            </m:rPr>
            <w:rPr>
              <w:rFonts w:ascii="Cambria Math" w:hAnsi="Cambria Math" w:cs="Arial"/>
            </w:rPr>
            <m:t>=EP*(P</m:t>
          </m:r>
          <m:r>
            <m:rPr>
              <m:sty m:val="p"/>
            </m:rPr>
            <w:rPr>
              <w:rFonts w:ascii="Cambria Math" w:hAnsi="Cambria Math" w:cs="Arial"/>
              <w:spacing w:val="-20"/>
              <w:w w:val="80"/>
              <w:position w:val="-6"/>
            </w:rPr>
            <m:t>A</m:t>
          </m:r>
          <m:r>
            <m:rPr>
              <m:sty m:val="p"/>
            </m:rPr>
            <w:rPr>
              <w:rFonts w:ascii="Cambria Math" w:hAnsi="Cambria Math" w:cs="Arial"/>
            </w:rPr>
            <m:t>+P</m:t>
          </m:r>
          <m:r>
            <m:rPr>
              <m:sty m:val="p"/>
            </m:rPr>
            <w:rPr>
              <w:rFonts w:ascii="Cambria Math" w:hAnsi="Cambria Math" w:cs="Arial"/>
              <w:spacing w:val="-20"/>
              <w:w w:val="80"/>
              <w:position w:val="-6"/>
            </w:rPr>
            <m:t>L</m:t>
          </m:r>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L</m:t>
              </m:r>
              <m:r>
                <m:rPr>
                  <m:sty m:val="p"/>
                </m:rPr>
                <w:rPr>
                  <w:rFonts w:ascii="Cambria Math" w:hAnsi="Cambria Math" w:cs="Arial"/>
                  <w:spacing w:val="-20"/>
                  <w:w w:val="80"/>
                  <w:position w:val="-6"/>
                </w:rPr>
                <m:t>n</m:t>
              </m:r>
            </m:num>
            <m:den>
              <m:r>
                <m:rPr>
                  <m:sty m:val="p"/>
                </m:rPr>
                <w:rPr>
                  <w:rFonts w:ascii="Cambria Math" w:hAnsi="Cambria Math" w:cs="Arial"/>
                </w:rPr>
                <m:t>L</m:t>
              </m:r>
            </m:den>
          </m:f>
          <m:r>
            <m:rPr>
              <m:sty m:val="p"/>
            </m:rPr>
            <w:rPr>
              <w:rFonts w:ascii="Cambria Math" w:hAnsi="Cambria Math" w:cs="Arial"/>
            </w:rPr>
            <m:t>+P</m:t>
          </m:r>
          <m:r>
            <m:rPr>
              <m:sty m:val="p"/>
            </m:rPr>
            <w:rPr>
              <w:rFonts w:ascii="Cambria Math" w:hAnsi="Cambria Math" w:cs="Arial"/>
              <w:spacing w:val="-20"/>
              <w:w w:val="80"/>
              <w:position w:val="-6"/>
            </w:rPr>
            <m:t>M</m:t>
          </m:r>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M</m:t>
              </m:r>
              <m:r>
                <m:rPr>
                  <m:sty m:val="p"/>
                </m:rPr>
                <w:rPr>
                  <w:rFonts w:ascii="Cambria Math" w:hAnsi="Cambria Math" w:cs="Arial"/>
                  <w:spacing w:val="-20"/>
                  <w:w w:val="80"/>
                  <w:position w:val="-6"/>
                </w:rPr>
                <m:t>n</m:t>
              </m:r>
            </m:num>
            <m:den>
              <m:r>
                <m:rPr>
                  <m:sty m:val="p"/>
                </m:rPr>
                <w:rPr>
                  <w:rFonts w:ascii="Cambria Math" w:hAnsi="Cambria Math" w:cs="Arial"/>
                </w:rPr>
                <m:t>M</m:t>
              </m:r>
            </m:den>
          </m:f>
          <m:r>
            <m:rPr>
              <m:sty m:val="p"/>
            </m:rPr>
            <w:rPr>
              <w:rFonts w:ascii="Cambria Math" w:hAnsi="Cambria Math" w:cs="Arial"/>
            </w:rPr>
            <m:t>)</m:t>
          </m:r>
        </m:oMath>
      </m:oMathPara>
    </w:p>
    <w:p w:rsidR="003806CB" w:rsidRDefault="003806CB" w:rsidP="003806CB">
      <w:r>
        <w:t>Dabei bedeuten:</w:t>
      </w:r>
    </w:p>
    <w:p w:rsidR="003806CB" w:rsidRDefault="003806CB" w:rsidP="003806CB">
      <w:pPr>
        <w:pStyle w:val="LegendezurFormel"/>
      </w:pPr>
      <w:r>
        <w:t>EP:</w:t>
      </w:r>
      <w:r>
        <w:tab/>
        <w:t>Einheitspreis</w:t>
      </w:r>
      <w:r w:rsidR="00C7412C">
        <w:t xml:space="preserve"> </w:t>
      </w:r>
      <w:r w:rsidR="00580D5F">
        <w:t>im Zeitpunkt Angebotsabgabe für die Rahmenvereinbarung</w:t>
      </w:r>
    </w:p>
    <w:p w:rsidR="003806CB" w:rsidRDefault="003806CB" w:rsidP="003806CB">
      <w:pPr>
        <w:pStyle w:val="LegendezurFormel"/>
      </w:pPr>
      <w:r>
        <w:t>EP</w:t>
      </w:r>
      <w:r w:rsidRPr="003806CB">
        <w:rPr>
          <w:vertAlign w:val="subscript"/>
        </w:rPr>
        <w:t>n</w:t>
      </w:r>
      <w:r>
        <w:rPr>
          <w:vertAlign w:val="subscript"/>
        </w:rPr>
        <w:t>:</w:t>
      </w:r>
      <w:r>
        <w:rPr>
          <w:vertAlign w:val="subscript"/>
        </w:rPr>
        <w:tab/>
      </w:r>
      <w:r w:rsidRPr="003806CB">
        <w:t xml:space="preserve">neuer </w:t>
      </w:r>
      <w:r>
        <w:t>E</w:t>
      </w:r>
      <w:r w:rsidRPr="003806CB">
        <w:t>inheitspreis</w:t>
      </w:r>
    </w:p>
    <w:p w:rsidR="003806CB" w:rsidRDefault="003806CB" w:rsidP="006D6731">
      <w:pPr>
        <w:pStyle w:val="LegendezurFormel"/>
        <w:tabs>
          <w:tab w:val="left" w:leader="dot" w:pos="1418"/>
          <w:tab w:val="left" w:pos="1701"/>
        </w:tabs>
      </w:pPr>
      <w:r>
        <w:t>P</w:t>
      </w:r>
      <w:r w:rsidR="00C7412C">
        <w:rPr>
          <w:vertAlign w:val="subscript"/>
        </w:rPr>
        <w:t>G</w:t>
      </w:r>
      <w:r>
        <w:rPr>
          <w:vertAlign w:val="subscript"/>
        </w:rPr>
        <w:t>:</w:t>
      </w:r>
      <w:r>
        <w:rPr>
          <w:vertAlign w:val="subscript"/>
        </w:rPr>
        <w:tab/>
      </w:r>
      <w:r w:rsidR="00580D5F">
        <w:t>0,</w:t>
      </w:r>
      <w:r w:rsidR="00580D5F">
        <w:tab/>
        <w:t>=</w:t>
      </w:r>
      <w:r w:rsidR="00580D5F">
        <w:tab/>
      </w:r>
      <w:bookmarkStart w:id="1" w:name="_Ref10025017"/>
      <w:r w:rsidR="008A25EE">
        <w:t>G</w:t>
      </w:r>
      <w:r w:rsidR="008A25EE" w:rsidRPr="00C7412C">
        <w:t>emeinkosten</w:t>
      </w:r>
      <w:r w:rsidR="008A25EE" w:rsidRPr="003806CB">
        <w:t>anteil</w:t>
      </w:r>
      <w:r w:rsidR="00650B18">
        <w:rPr>
          <w:rStyle w:val="Funotenzeichen"/>
        </w:rPr>
        <w:footnoteReference w:id="1"/>
      </w:r>
      <w:bookmarkEnd w:id="1"/>
    </w:p>
    <w:p w:rsidR="003806CB" w:rsidRDefault="003806CB" w:rsidP="006D6731">
      <w:pPr>
        <w:pStyle w:val="LegendezurFormel"/>
        <w:tabs>
          <w:tab w:val="left" w:leader="dot" w:pos="1418"/>
          <w:tab w:val="left" w:pos="1701"/>
          <w:tab w:val="left" w:pos="2835"/>
        </w:tabs>
      </w:pPr>
      <w:r>
        <w:t>P</w:t>
      </w:r>
      <w:r w:rsidRPr="003806CB">
        <w:rPr>
          <w:vertAlign w:val="subscript"/>
        </w:rPr>
        <w:t>L</w:t>
      </w:r>
      <w:r>
        <w:t>:</w:t>
      </w:r>
      <w:r>
        <w:tab/>
      </w:r>
      <w:r w:rsidR="00580D5F">
        <w:t>0,</w:t>
      </w:r>
      <w:r w:rsidR="00580D5F">
        <w:tab/>
        <w:t>=</w:t>
      </w:r>
      <w:r w:rsidR="00580D5F">
        <w:tab/>
      </w:r>
      <w:r w:rsidR="00C7412C">
        <w:t>Lohnkostenanteil</w:t>
      </w:r>
      <w:r w:rsidR="00650B18" w:rsidRPr="008A25EE">
        <w:rPr>
          <w:vertAlign w:val="superscript"/>
        </w:rPr>
        <w:fldChar w:fldCharType="begin"/>
      </w:r>
      <w:r w:rsidR="00650B18" w:rsidRPr="008A25EE">
        <w:rPr>
          <w:vertAlign w:val="superscript"/>
        </w:rPr>
        <w:instrText xml:space="preserve"> NOTEREF _Ref10025017 \h </w:instrText>
      </w:r>
      <w:r w:rsidR="008A25EE">
        <w:rPr>
          <w:vertAlign w:val="superscript"/>
        </w:rPr>
        <w:instrText xml:space="preserve"> \* MERGEFORMAT </w:instrText>
      </w:r>
      <w:r w:rsidR="00650B18" w:rsidRPr="008A25EE">
        <w:rPr>
          <w:vertAlign w:val="superscript"/>
        </w:rPr>
      </w:r>
      <w:r w:rsidR="00650B18" w:rsidRPr="008A25EE">
        <w:rPr>
          <w:vertAlign w:val="superscript"/>
        </w:rPr>
        <w:fldChar w:fldCharType="separate"/>
      </w:r>
      <w:r w:rsidR="00650B18" w:rsidRPr="008A25EE">
        <w:rPr>
          <w:vertAlign w:val="superscript"/>
        </w:rPr>
        <w:t>1</w:t>
      </w:r>
      <w:r w:rsidR="00650B18" w:rsidRPr="008A25EE">
        <w:rPr>
          <w:vertAlign w:val="superscript"/>
        </w:rPr>
        <w:fldChar w:fldCharType="end"/>
      </w:r>
    </w:p>
    <w:p w:rsidR="003806CB" w:rsidRDefault="003806CB" w:rsidP="006D6731">
      <w:pPr>
        <w:pStyle w:val="LegendezurFormel"/>
        <w:tabs>
          <w:tab w:val="left" w:leader="dot" w:pos="1418"/>
          <w:tab w:val="left" w:pos="1701"/>
          <w:tab w:val="left" w:pos="2835"/>
        </w:tabs>
      </w:pPr>
      <w:r>
        <w:t>P</w:t>
      </w:r>
      <w:r w:rsidRPr="003806CB">
        <w:rPr>
          <w:vertAlign w:val="subscript"/>
        </w:rPr>
        <w:t>M</w:t>
      </w:r>
      <w:r>
        <w:t>:</w:t>
      </w:r>
      <w:r>
        <w:tab/>
      </w:r>
      <w:r w:rsidR="00580D5F">
        <w:t>0,</w:t>
      </w:r>
      <w:r w:rsidR="00580D5F">
        <w:tab/>
        <w:t>=</w:t>
      </w:r>
      <w:r w:rsidR="00580D5F">
        <w:tab/>
      </w:r>
      <w:r>
        <w:t>Material</w:t>
      </w:r>
      <w:r w:rsidR="008A25EE">
        <w:t>kosten</w:t>
      </w:r>
      <w:r w:rsidR="00C7412C">
        <w:t>anteil</w:t>
      </w:r>
      <w:r w:rsidR="00650B18" w:rsidRPr="008A25EE">
        <w:rPr>
          <w:vertAlign w:val="superscript"/>
        </w:rPr>
        <w:fldChar w:fldCharType="begin"/>
      </w:r>
      <w:r w:rsidR="00650B18" w:rsidRPr="008A25EE">
        <w:rPr>
          <w:vertAlign w:val="superscript"/>
        </w:rPr>
        <w:instrText xml:space="preserve"> NOTEREF _Ref10025017 \h </w:instrText>
      </w:r>
      <w:r w:rsidR="008A25EE">
        <w:rPr>
          <w:vertAlign w:val="superscript"/>
        </w:rPr>
        <w:instrText xml:space="preserve"> \* MERGEFORMAT </w:instrText>
      </w:r>
      <w:r w:rsidR="00650B18" w:rsidRPr="008A25EE">
        <w:rPr>
          <w:vertAlign w:val="superscript"/>
        </w:rPr>
      </w:r>
      <w:r w:rsidR="00650B18" w:rsidRPr="008A25EE">
        <w:rPr>
          <w:vertAlign w:val="superscript"/>
        </w:rPr>
        <w:fldChar w:fldCharType="separate"/>
      </w:r>
      <w:r w:rsidR="00650B18" w:rsidRPr="008A25EE">
        <w:rPr>
          <w:vertAlign w:val="superscript"/>
        </w:rPr>
        <w:t>1</w:t>
      </w:r>
      <w:r w:rsidR="00650B18" w:rsidRPr="008A25EE">
        <w:rPr>
          <w:vertAlign w:val="superscript"/>
        </w:rPr>
        <w:fldChar w:fldCharType="end"/>
      </w:r>
    </w:p>
    <w:p w:rsidR="00C7412C" w:rsidRDefault="00C7412C" w:rsidP="003806CB">
      <w:pPr>
        <w:pStyle w:val="LegendezurFormel"/>
      </w:pPr>
      <w:r>
        <w:tab/>
        <w:t>(P</w:t>
      </w:r>
      <w:r w:rsidRPr="00C7412C">
        <w:rPr>
          <w:vertAlign w:val="subscript"/>
        </w:rPr>
        <w:t>A</w:t>
      </w:r>
      <w:r>
        <w:t>+P</w:t>
      </w:r>
      <w:r w:rsidRPr="00C7412C">
        <w:rPr>
          <w:vertAlign w:val="subscript"/>
        </w:rPr>
        <w:t>L</w:t>
      </w:r>
      <w:r>
        <w:t>+P</w:t>
      </w:r>
      <w:r w:rsidRPr="00C7412C">
        <w:rPr>
          <w:vertAlign w:val="subscript"/>
        </w:rPr>
        <w:t>M</w:t>
      </w:r>
      <w:r>
        <w:t>=1)</w:t>
      </w:r>
    </w:p>
    <w:p w:rsidR="003806CB" w:rsidRDefault="003806CB" w:rsidP="00C7412C">
      <w:pPr>
        <w:pStyle w:val="LegendezurFormel"/>
      </w:pPr>
      <w:r>
        <w:t>L:</w:t>
      </w:r>
      <w:r>
        <w:tab/>
      </w:r>
      <w:r w:rsidR="001D28F7">
        <w:t>maßgebender Lohn</w:t>
      </w:r>
      <w:r w:rsidR="00C7412C">
        <w:t xml:space="preserve"> </w:t>
      </w:r>
      <w:r w:rsidR="00580D5F">
        <w:t>im Zeitpunkt Angebotsabgabe für die Rahmenvereinbarung</w:t>
      </w:r>
    </w:p>
    <w:p w:rsidR="003806CB" w:rsidRDefault="003806CB" w:rsidP="00C7412C">
      <w:pPr>
        <w:pStyle w:val="LegendezurFormel"/>
      </w:pPr>
      <w:r>
        <w:t>L</w:t>
      </w:r>
      <w:r w:rsidRPr="001D28F7">
        <w:rPr>
          <w:vertAlign w:val="subscript"/>
        </w:rPr>
        <w:t>n</w:t>
      </w:r>
      <w:r>
        <w:t>:</w:t>
      </w:r>
      <w:r w:rsidR="00580D5F">
        <w:tab/>
        <w:t>neuer Lohn der maßgebenden Lohngruppe</w:t>
      </w:r>
    </w:p>
    <w:p w:rsidR="003806CB" w:rsidRDefault="003806CB" w:rsidP="006D6731">
      <w:pPr>
        <w:pStyle w:val="LegendezurFormel"/>
        <w:tabs>
          <w:tab w:val="clear" w:pos="567"/>
          <w:tab w:val="left" w:leader="dot" w:pos="3119"/>
        </w:tabs>
      </w:pPr>
      <w:r>
        <w:t>M:</w:t>
      </w:r>
      <w:r w:rsidR="00580D5F">
        <w:tab/>
      </w:r>
      <w:r w:rsidR="00580D5F">
        <w:tab/>
        <w:t>Materialindex</w:t>
      </w:r>
      <w:r w:rsidR="00650B18" w:rsidRPr="008A25EE">
        <w:rPr>
          <w:vertAlign w:val="superscript"/>
        </w:rPr>
        <w:fldChar w:fldCharType="begin"/>
      </w:r>
      <w:r w:rsidR="00650B18" w:rsidRPr="008A25EE">
        <w:rPr>
          <w:vertAlign w:val="superscript"/>
        </w:rPr>
        <w:instrText xml:space="preserve"> NOTEREF _Ref10025017 \h </w:instrText>
      </w:r>
      <w:r w:rsidR="008A25EE">
        <w:rPr>
          <w:vertAlign w:val="superscript"/>
        </w:rPr>
        <w:instrText xml:space="preserve"> \* MERGEFORMAT </w:instrText>
      </w:r>
      <w:r w:rsidR="00650B18" w:rsidRPr="008A25EE">
        <w:rPr>
          <w:vertAlign w:val="superscript"/>
        </w:rPr>
      </w:r>
      <w:r w:rsidR="00650B18" w:rsidRPr="008A25EE">
        <w:rPr>
          <w:vertAlign w:val="superscript"/>
        </w:rPr>
        <w:fldChar w:fldCharType="separate"/>
      </w:r>
      <w:r w:rsidR="00650B18" w:rsidRPr="008A25EE">
        <w:rPr>
          <w:vertAlign w:val="superscript"/>
        </w:rPr>
        <w:t>1</w:t>
      </w:r>
      <w:r w:rsidR="00650B18" w:rsidRPr="008A25EE">
        <w:rPr>
          <w:vertAlign w:val="superscript"/>
        </w:rPr>
        <w:fldChar w:fldCharType="end"/>
      </w:r>
      <w:r w:rsidR="00580D5F">
        <w:t xml:space="preserve"> im Zeitpunkt Angebotsabgabe für die Rahmenvereinbarung; statistisches Basisjahr</w:t>
      </w:r>
      <w:r w:rsidR="008A25EE" w:rsidRPr="008A25EE">
        <w:rPr>
          <w:vertAlign w:val="superscript"/>
        </w:rPr>
        <w:fldChar w:fldCharType="begin"/>
      </w:r>
      <w:r w:rsidR="008A25EE" w:rsidRPr="008A25EE">
        <w:rPr>
          <w:vertAlign w:val="superscript"/>
        </w:rPr>
        <w:instrText xml:space="preserve"> NOTEREF _Ref10025017 \h </w:instrText>
      </w:r>
      <w:r w:rsidR="008A25EE">
        <w:rPr>
          <w:vertAlign w:val="superscript"/>
        </w:rPr>
        <w:instrText xml:space="preserve"> \* MERGEFORMAT </w:instrText>
      </w:r>
      <w:r w:rsidR="008A25EE" w:rsidRPr="008A25EE">
        <w:rPr>
          <w:vertAlign w:val="superscript"/>
        </w:rPr>
      </w:r>
      <w:r w:rsidR="008A25EE" w:rsidRPr="008A25EE">
        <w:rPr>
          <w:vertAlign w:val="superscript"/>
        </w:rPr>
        <w:fldChar w:fldCharType="separate"/>
      </w:r>
      <w:r w:rsidR="008A25EE" w:rsidRPr="008A25EE">
        <w:rPr>
          <w:vertAlign w:val="superscript"/>
        </w:rPr>
        <w:t>1</w:t>
      </w:r>
      <w:r w:rsidR="008A25EE" w:rsidRPr="008A25EE">
        <w:rPr>
          <w:vertAlign w:val="superscript"/>
        </w:rPr>
        <w:fldChar w:fldCharType="end"/>
      </w:r>
      <w:r w:rsidR="006D6731">
        <w:t>:</w:t>
      </w:r>
      <w:r w:rsidR="006D6731">
        <w:tab/>
      </w:r>
    </w:p>
    <w:p w:rsidR="003806CB" w:rsidRDefault="003806CB" w:rsidP="00C7412C">
      <w:pPr>
        <w:pStyle w:val="LegendezurFormel"/>
      </w:pPr>
      <w:r>
        <w:t>M</w:t>
      </w:r>
      <w:r w:rsidRPr="001D28F7">
        <w:rPr>
          <w:vertAlign w:val="subscript"/>
        </w:rPr>
        <w:t>n</w:t>
      </w:r>
      <w:r>
        <w:t>:</w:t>
      </w:r>
      <w:r w:rsidR="00BE0FEF">
        <w:tab/>
        <w:t>neuer</w:t>
      </w:r>
      <w:r w:rsidR="001D28F7">
        <w:t xml:space="preserve"> </w:t>
      </w:r>
      <w:r w:rsidR="00BE0FEF">
        <w:t>Materialindex</w:t>
      </w:r>
    </w:p>
    <w:p w:rsidR="003806CB" w:rsidRDefault="00BE0FEF" w:rsidP="00253554">
      <w:pPr>
        <w:pStyle w:val="Tarifvertrag"/>
      </w:pPr>
      <w:r>
        <w:t>Maßgebender Tarifvertrag</w:t>
      </w:r>
      <w:r w:rsidR="00650B18" w:rsidRPr="008A25EE">
        <w:rPr>
          <w:vertAlign w:val="superscript"/>
        </w:rPr>
        <w:fldChar w:fldCharType="begin"/>
      </w:r>
      <w:r w:rsidR="00650B18" w:rsidRPr="008A25EE">
        <w:rPr>
          <w:vertAlign w:val="superscript"/>
        </w:rPr>
        <w:instrText xml:space="preserve"> NOTEREF _Ref10025017 \h </w:instrText>
      </w:r>
      <w:r w:rsidR="008A25EE">
        <w:rPr>
          <w:vertAlign w:val="superscript"/>
        </w:rPr>
        <w:instrText xml:space="preserve"> \* MERGEFORMAT </w:instrText>
      </w:r>
      <w:r w:rsidR="00650B18" w:rsidRPr="008A25EE">
        <w:rPr>
          <w:vertAlign w:val="superscript"/>
        </w:rPr>
      </w:r>
      <w:r w:rsidR="00650B18" w:rsidRPr="008A25EE">
        <w:rPr>
          <w:vertAlign w:val="superscript"/>
        </w:rPr>
        <w:fldChar w:fldCharType="separate"/>
      </w:r>
      <w:r w:rsidR="00650B18" w:rsidRPr="008A25EE">
        <w:rPr>
          <w:vertAlign w:val="superscript"/>
        </w:rPr>
        <w:t>1</w:t>
      </w:r>
      <w:r w:rsidR="00650B18" w:rsidRPr="008A25EE">
        <w:rPr>
          <w:vertAlign w:val="superscript"/>
        </w:rPr>
        <w:fldChar w:fldCharType="end"/>
      </w:r>
      <w:r w:rsidR="00253554" w:rsidRPr="00253554">
        <w:t xml:space="preserve"> </w:t>
      </w:r>
      <w:r w:rsidR="00253554">
        <w:t>(bei tariflosem Zustand gelten die maßgebenden orts- oder gewerbeüblichen Betriebsvereinbarungen):</w:t>
      </w:r>
    </w:p>
    <w:p w:rsidR="006D6731" w:rsidRDefault="006D6731" w:rsidP="00445857">
      <w:pPr>
        <w:pStyle w:val="Tarifvertrag"/>
      </w:pPr>
      <w:r>
        <w:tab/>
      </w:r>
    </w:p>
    <w:p w:rsidR="003806CB" w:rsidRDefault="00BE0FEF" w:rsidP="00253554">
      <w:pPr>
        <w:pStyle w:val="Tarifvertrag"/>
      </w:pPr>
      <w:r>
        <w:t>Maßgebender Lohn ist der Lohn der Lohngruppe:</w:t>
      </w:r>
      <w:r w:rsidR="00650B18">
        <w:rPr>
          <w:rStyle w:val="Funotenzeichen"/>
        </w:rPr>
        <w:footnoteReference w:id="2"/>
      </w:r>
    </w:p>
    <w:p w:rsidR="006D6731" w:rsidRDefault="006D6731" w:rsidP="00445857">
      <w:pPr>
        <w:pStyle w:val="Tarifvertrag"/>
      </w:pPr>
      <w:r>
        <w:tab/>
      </w:r>
    </w:p>
    <w:p w:rsidR="003806CB" w:rsidRDefault="001D28F7" w:rsidP="00445857">
      <w:pPr>
        <w:pStyle w:val="Tarifvertrag"/>
      </w:pPr>
      <w:r>
        <w:t xml:space="preserve">Der angegebene Materialindex ist der Index der Erzeugerpreise gewerblicher Produkte (Inlandsabsatz) des Statistischen Bundesamtes </w:t>
      </w:r>
      <w:r w:rsidR="00650B18">
        <w:t xml:space="preserve">(Fachserie 17 Reihe 2) </w:t>
      </w:r>
      <w:r>
        <w:t>für</w:t>
      </w:r>
      <w:r w:rsidR="00650B18" w:rsidRPr="008A25EE">
        <w:rPr>
          <w:vertAlign w:val="superscript"/>
        </w:rPr>
        <w:fldChar w:fldCharType="begin"/>
      </w:r>
      <w:r w:rsidR="00650B18" w:rsidRPr="008A25EE">
        <w:rPr>
          <w:vertAlign w:val="superscript"/>
        </w:rPr>
        <w:instrText xml:space="preserve"> NOTEREF _Ref10025017 \h </w:instrText>
      </w:r>
      <w:r w:rsidR="008A25EE">
        <w:rPr>
          <w:vertAlign w:val="superscript"/>
        </w:rPr>
        <w:instrText xml:space="preserve"> \* MERGEFORMAT </w:instrText>
      </w:r>
      <w:r w:rsidR="00650B18" w:rsidRPr="008A25EE">
        <w:rPr>
          <w:vertAlign w:val="superscript"/>
        </w:rPr>
      </w:r>
      <w:r w:rsidR="00650B18" w:rsidRPr="008A25EE">
        <w:rPr>
          <w:vertAlign w:val="superscript"/>
        </w:rPr>
        <w:fldChar w:fldCharType="separate"/>
      </w:r>
      <w:r w:rsidR="00650B18" w:rsidRPr="008A25EE">
        <w:rPr>
          <w:vertAlign w:val="superscript"/>
        </w:rPr>
        <w:t>1</w:t>
      </w:r>
      <w:r w:rsidR="00650B18" w:rsidRPr="008A25EE">
        <w:rPr>
          <w:vertAlign w:val="superscript"/>
        </w:rPr>
        <w:fldChar w:fldCharType="end"/>
      </w:r>
    </w:p>
    <w:p w:rsidR="006D6731" w:rsidRDefault="006D6731" w:rsidP="00445857">
      <w:pPr>
        <w:pStyle w:val="Tarifvertrag"/>
      </w:pPr>
      <w:r>
        <w:tab/>
      </w:r>
    </w:p>
    <w:p w:rsidR="00445857" w:rsidRDefault="00445857" w:rsidP="00445857">
      <w:r>
        <w:t xml:space="preserve">Falls sich die Grundlagen für die Fortschreibung des Materialindex während der Vertragslaufzeit ändern (z.B. Änderung des statistischen Basisjahres oder Wegfall eines Index), </w:t>
      </w:r>
      <w:r w:rsidR="008A25EE">
        <w:t xml:space="preserve">wird </w:t>
      </w:r>
      <w:r>
        <w:t>der Materialindex wie folgt angepasst:</w:t>
      </w:r>
    </w:p>
    <w:p w:rsidR="00445857" w:rsidRDefault="00445857" w:rsidP="00445857">
      <w:pPr>
        <w:pStyle w:val="Listenabsatz"/>
        <w:numPr>
          <w:ilvl w:val="0"/>
          <w:numId w:val="34"/>
        </w:numPr>
      </w:pPr>
      <w:r>
        <w:t>Bei Änderung des statistischen Basisjahres (ungefähr alle fünf Jahre) wird der Materialindex im Bezugsjahr fortgeschrieben. Er wird durch einen umbasierten Materialindex ersetzt, der ebenfalls für das Bezugsjahr gilt, allerdings auf der Grundlage des neuen statistischen Basisjahres. Der umbasierte Materialindex im Bezugsjahr muss in gleicher Weise mit dem aktuellen statistischen Basisjahr verkettet sein wie der neue Materialindex.</w:t>
      </w:r>
    </w:p>
    <w:p w:rsidR="00445857" w:rsidRDefault="00445857" w:rsidP="00445857">
      <w:pPr>
        <w:pStyle w:val="Listenabsatz"/>
        <w:numPr>
          <w:ilvl w:val="0"/>
          <w:numId w:val="34"/>
        </w:numPr>
      </w:pPr>
      <w:r>
        <w:t xml:space="preserve">Entfällt der bisher verwendete Materialindex, so ist ein als Ersatz geeigneter Materialindex zu </w:t>
      </w:r>
      <w:r w:rsidR="008A25EE">
        <w:t>vereinbaren</w:t>
      </w:r>
      <w:r>
        <w:t>. Der Ersatz-Index kann mit dem bisherigen Index verkettet werden.</w:t>
      </w:r>
    </w:p>
    <w:p w:rsidR="00445857" w:rsidRDefault="006D6731" w:rsidP="006D6731">
      <w:r>
        <w:t xml:space="preserve">Die </w:t>
      </w:r>
      <w:r w:rsidR="00103D8F">
        <w:t>fortgeschriebenen Einheitspreise gelten für Einzelaufträge, die</w:t>
      </w:r>
      <w:r w:rsidR="00103D8F" w:rsidDel="00103D8F">
        <w:t xml:space="preserve"> </w:t>
      </w:r>
      <w:r>
        <w:t>nach Erbringung des Nachweises der Änderung des maßgebenden Lohnes bzw. Materialindexes durch den Auftragnehmer</w:t>
      </w:r>
      <w:r w:rsidR="00103D8F" w:rsidRPr="00103D8F">
        <w:t xml:space="preserve"> </w:t>
      </w:r>
      <w:r w:rsidR="00103D8F">
        <w:t>abgerufen werden</w:t>
      </w:r>
      <w:r>
        <w:t>.</w:t>
      </w:r>
    </w:p>
    <w:p w:rsidR="00445857" w:rsidRPr="003A44A5" w:rsidRDefault="00445857" w:rsidP="003806CB"/>
    <w:sectPr w:rsidR="00445857" w:rsidRPr="003A44A5" w:rsidSect="008E0DCC">
      <w:headerReference w:type="even" r:id="rId8"/>
      <w:headerReference w:type="default" r:id="rId9"/>
      <w:footerReference w:type="default" r:id="rId10"/>
      <w:footnotePr>
        <w:numRestart w:val="eachPage"/>
      </w:footnotePr>
      <w:pgSz w:w="11906" w:h="16838" w:code="9"/>
      <w:pgMar w:top="851" w:right="851" w:bottom="567"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D0" w:rsidRDefault="00BA46D0">
      <w:r>
        <w:separator/>
      </w:r>
    </w:p>
    <w:p w:rsidR="00BA46D0" w:rsidRDefault="00BA46D0"/>
    <w:p w:rsidR="00BA46D0" w:rsidRDefault="00BA46D0"/>
    <w:p w:rsidR="00BA46D0" w:rsidRDefault="00BA46D0"/>
    <w:p w:rsidR="00BA46D0" w:rsidRDefault="00BA46D0" w:rsidP="00670180"/>
  </w:endnote>
  <w:endnote w:type="continuationSeparator" w:id="0">
    <w:p w:rsidR="00BA46D0" w:rsidRDefault="00BA46D0">
      <w:r>
        <w:continuationSeparator/>
      </w:r>
    </w:p>
    <w:p w:rsidR="00BA46D0" w:rsidRDefault="00BA46D0"/>
    <w:p w:rsidR="00BA46D0" w:rsidRDefault="00BA46D0"/>
    <w:p w:rsidR="00BA46D0" w:rsidRDefault="00BA46D0"/>
    <w:p w:rsidR="00BA46D0" w:rsidRDefault="00BA46D0" w:rsidP="00670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25285E" w:rsidRPr="00D6072E">
      <w:trPr>
        <w:cantSplit/>
        <w:trHeight w:hRule="exact" w:val="397"/>
      </w:trPr>
      <w:tc>
        <w:tcPr>
          <w:tcW w:w="147" w:type="dxa"/>
          <w:vAlign w:val="center"/>
        </w:tcPr>
        <w:p w:rsidR="0025285E" w:rsidRPr="00D6072E" w:rsidRDefault="0025285E" w:rsidP="00DF6429">
          <w:pPr>
            <w:keepNext w:val="0"/>
            <w:widowControl w:val="0"/>
            <w:jc w:val="center"/>
            <w:rPr>
              <w:b/>
              <w:sz w:val="16"/>
              <w:szCs w:val="16"/>
            </w:rPr>
          </w:pPr>
          <w:r w:rsidRPr="00D6072E">
            <w:rPr>
              <w:rFonts w:cs="Arial"/>
              <w:b/>
              <w:sz w:val="16"/>
              <w:szCs w:val="16"/>
            </w:rPr>
            <w:t>©</w:t>
          </w:r>
        </w:p>
      </w:tc>
      <w:tc>
        <w:tcPr>
          <w:tcW w:w="621" w:type="dxa"/>
          <w:vAlign w:val="center"/>
        </w:tcPr>
        <w:p w:rsidR="0025285E" w:rsidRPr="00D6072E" w:rsidRDefault="00BD52C9" w:rsidP="00DF6429">
          <w:pPr>
            <w:keepNext w:val="0"/>
            <w:widowControl w:val="0"/>
            <w:jc w:val="center"/>
            <w:rPr>
              <w:b/>
              <w:sz w:val="16"/>
              <w:szCs w:val="16"/>
            </w:rPr>
          </w:pPr>
          <w:r>
            <w:rPr>
              <w:rFonts w:cs="Arial"/>
              <w:b/>
              <w:noProof/>
              <w:sz w:val="16"/>
              <w:szCs w:val="16"/>
            </w:rPr>
            <w:drawing>
              <wp:inline distT="0" distB="0" distL="0" distR="0" wp14:anchorId="30AB0164" wp14:editId="2B612336">
                <wp:extent cx="364490" cy="252730"/>
                <wp:effectExtent l="0" t="0" r="0" b="0"/>
                <wp:docPr id="1" name="Bild 1" descr="Bundesadler mit VHB-Schriftzug zur Identifizierung als Formblatt des Vergabe- und Vertragshandbuches für Baumaßnahmen des Bundes" title="VHB-Bunde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252730"/>
                        </a:xfrm>
                        <a:prstGeom prst="rect">
                          <a:avLst/>
                        </a:prstGeom>
                        <a:noFill/>
                        <a:ln>
                          <a:noFill/>
                        </a:ln>
                      </pic:spPr>
                    </pic:pic>
                  </a:graphicData>
                </a:graphic>
              </wp:inline>
            </w:drawing>
          </w:r>
        </w:p>
      </w:tc>
      <w:tc>
        <w:tcPr>
          <w:tcW w:w="7512" w:type="dxa"/>
          <w:vAlign w:val="center"/>
        </w:tcPr>
        <w:p w:rsidR="0025285E" w:rsidRPr="00D6072E" w:rsidRDefault="0025285E" w:rsidP="00326312">
          <w:pPr>
            <w:keepNext w:val="0"/>
            <w:widowControl w:val="0"/>
            <w:tabs>
              <w:tab w:val="left" w:pos="72"/>
            </w:tabs>
            <w:jc w:val="left"/>
            <w:rPr>
              <w:rFonts w:cs="Arial"/>
              <w:b/>
              <w:sz w:val="16"/>
              <w:szCs w:val="16"/>
            </w:rPr>
          </w:pPr>
          <w:r w:rsidRPr="00D6072E">
            <w:rPr>
              <w:rFonts w:cs="Arial"/>
              <w:b/>
              <w:sz w:val="16"/>
              <w:szCs w:val="16"/>
            </w:rPr>
            <w:tab/>
            <w:t xml:space="preserve">VHB - Bund - Ausgabe </w:t>
          </w:r>
          <w:r w:rsidR="00700CD4">
            <w:rPr>
              <w:rFonts w:cs="Arial"/>
              <w:b/>
              <w:sz w:val="16"/>
              <w:szCs w:val="16"/>
            </w:rPr>
            <w:t>201</w:t>
          </w:r>
          <w:r w:rsidR="00326312">
            <w:rPr>
              <w:rFonts w:cs="Arial"/>
              <w:b/>
              <w:sz w:val="16"/>
              <w:szCs w:val="16"/>
            </w:rPr>
            <w:t>7</w:t>
          </w:r>
          <w:r w:rsidR="008A25EE">
            <w:rPr>
              <w:rFonts w:cs="Arial"/>
              <w:b/>
              <w:sz w:val="16"/>
              <w:szCs w:val="16"/>
            </w:rPr>
            <w:t xml:space="preserve"> - Stand 2019</w:t>
          </w:r>
        </w:p>
      </w:tc>
      <w:tc>
        <w:tcPr>
          <w:tcW w:w="1440" w:type="dxa"/>
          <w:vAlign w:val="center"/>
        </w:tcPr>
        <w:p w:rsidR="0025285E" w:rsidRPr="00D6072E" w:rsidRDefault="0025285E" w:rsidP="00DF6429">
          <w:pPr>
            <w:keepNext w:val="0"/>
            <w:widowControl w:val="0"/>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836B02">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836B02">
            <w:rPr>
              <w:rFonts w:cs="Arial"/>
              <w:b/>
              <w:noProof/>
              <w:snapToGrid w:val="0"/>
              <w:sz w:val="16"/>
              <w:szCs w:val="16"/>
            </w:rPr>
            <w:t>1</w:t>
          </w:r>
          <w:r w:rsidRPr="00D6072E">
            <w:rPr>
              <w:rFonts w:cs="Arial"/>
              <w:b/>
              <w:snapToGrid w:val="0"/>
              <w:sz w:val="16"/>
              <w:szCs w:val="16"/>
            </w:rPr>
            <w:fldChar w:fldCharType="end"/>
          </w:r>
        </w:p>
      </w:tc>
    </w:tr>
  </w:tbl>
  <w:p w:rsidR="0025285E" w:rsidRPr="00046C8E" w:rsidRDefault="002528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D0" w:rsidRDefault="00BA46D0" w:rsidP="00DF6429">
      <w:pPr>
        <w:keepNext w:val="0"/>
        <w:widowControl w:val="0"/>
      </w:pPr>
      <w:r>
        <w:separator/>
      </w:r>
    </w:p>
    <w:p w:rsidR="00BA46D0" w:rsidRDefault="00BA46D0"/>
    <w:p w:rsidR="00BA46D0" w:rsidRDefault="00BA46D0" w:rsidP="00670180"/>
  </w:footnote>
  <w:footnote w:type="continuationSeparator" w:id="0">
    <w:p w:rsidR="00BA46D0" w:rsidRDefault="00BA46D0">
      <w:r>
        <w:continuationSeparator/>
      </w:r>
    </w:p>
    <w:p w:rsidR="00BA46D0" w:rsidRDefault="00BA46D0"/>
    <w:p w:rsidR="00BA46D0" w:rsidRDefault="00BA46D0"/>
    <w:p w:rsidR="00BA46D0" w:rsidRDefault="00BA46D0"/>
    <w:p w:rsidR="00BA46D0" w:rsidRDefault="00BA46D0" w:rsidP="00670180"/>
  </w:footnote>
  <w:footnote w:id="1">
    <w:p w:rsidR="00650B18" w:rsidRDefault="00650B18">
      <w:pPr>
        <w:pStyle w:val="Funotentext"/>
      </w:pPr>
      <w:r>
        <w:rPr>
          <w:rStyle w:val="Funotenzeichen"/>
        </w:rPr>
        <w:footnoteRef/>
      </w:r>
      <w:r>
        <w:t xml:space="preserve"> vom Bieter anzugeben</w:t>
      </w:r>
    </w:p>
  </w:footnote>
  <w:footnote w:id="2">
    <w:p w:rsidR="00650B18" w:rsidRDefault="00650B18">
      <w:pPr>
        <w:pStyle w:val="Funotentext"/>
      </w:pPr>
      <w:r>
        <w:rPr>
          <w:rStyle w:val="Funotenzeichen"/>
        </w:rPr>
        <w:footnoteRef/>
      </w:r>
      <w:r>
        <w:t xml:space="preserve"> vom Auftraggeber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5E" w:rsidRDefault="0025285E"/>
  <w:p w:rsidR="0025285E" w:rsidRDefault="0025285E"/>
  <w:p w:rsidR="0025285E" w:rsidRDefault="0025285E"/>
  <w:p w:rsidR="0025285E" w:rsidRDefault="0025285E" w:rsidP="006701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5E" w:rsidRDefault="008051E9" w:rsidP="00046C8E">
    <w:pPr>
      <w:pStyle w:val="Kopfzeile"/>
    </w:pPr>
    <w:r>
      <w:t>615</w:t>
    </w:r>
  </w:p>
  <w:p w:rsidR="0025285E" w:rsidRPr="00AB4B05" w:rsidRDefault="0025285E" w:rsidP="00AB4B05">
    <w:pPr>
      <w:pStyle w:val="UnterKopfzeile"/>
    </w:pPr>
    <w:r>
      <w:t>(</w:t>
    </w:r>
    <w:r w:rsidR="008051E9">
      <w:t>Rahmenvereinbarung</w:t>
    </w:r>
    <w:r>
      <w:t xml:space="preserve"> </w:t>
    </w:r>
    <w:r w:rsidR="008051E9">
      <w:t>G</w:t>
    </w:r>
    <w:r>
      <w:t>leitklausel)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E03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4EB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802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C43A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5EA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6F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0E1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67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A6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B077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C90FB4"/>
    <w:multiLevelType w:val="multilevel"/>
    <w:tmpl w:val="085E5AEA"/>
    <w:lvl w:ilvl="0">
      <w:start w:val="1"/>
      <w:numFmt w:val="decimal"/>
      <w:pStyle w:val="berschrift1"/>
      <w:lvlText w:val="%1"/>
      <w:lvlJc w:val="left"/>
      <w:pPr>
        <w:tabs>
          <w:tab w:val="num" w:pos="851"/>
        </w:tabs>
        <w:ind w:left="851" w:hanging="851"/>
      </w:pPr>
      <w:rPr>
        <w:rFonts w:ascii="Arial" w:hAnsi="Arial" w:hint="default"/>
        <w:b w:val="0"/>
        <w:bCs w:val="0"/>
        <w:i w:val="0"/>
        <w:iCs w:val="0"/>
        <w:caps w:val="0"/>
        <w:smallCaps w:val="0"/>
        <w:strike w:val="0"/>
        <w:dstrike w:val="0"/>
        <w:color w:val="auto"/>
        <w:spacing w:val="0"/>
        <w:w w:val="100"/>
        <w:kern w:val="32"/>
        <w:position w:val="0"/>
        <w:sz w:val="20"/>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F340003"/>
    <w:multiLevelType w:val="multilevel"/>
    <w:tmpl w:val="A288CD94"/>
    <w:lvl w:ilvl="0">
      <w:start w:val="1"/>
      <w:numFmt w:val="decima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8EB35CB"/>
    <w:multiLevelType w:val="hybridMultilevel"/>
    <w:tmpl w:val="FC584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6"/>
  </w:num>
  <w:num w:numId="3">
    <w:abstractNumId w:val="18"/>
  </w:num>
  <w:num w:numId="4">
    <w:abstractNumId w:val="28"/>
  </w:num>
  <w:num w:numId="5">
    <w:abstractNumId w:val="20"/>
  </w:num>
  <w:num w:numId="6">
    <w:abstractNumId w:val="13"/>
  </w:num>
  <w:num w:numId="7">
    <w:abstractNumId w:val="24"/>
  </w:num>
  <w:num w:numId="8">
    <w:abstractNumId w:val="19"/>
  </w:num>
  <w:num w:numId="9">
    <w:abstractNumId w:val="27"/>
  </w:num>
  <w:num w:numId="10">
    <w:abstractNumId w:val="15"/>
  </w:num>
  <w:num w:numId="11">
    <w:abstractNumId w:val="22"/>
  </w:num>
  <w:num w:numId="12">
    <w:abstractNumId w:val="22"/>
  </w:num>
  <w:num w:numId="13">
    <w:abstractNumId w:val="22"/>
  </w:num>
  <w:num w:numId="14">
    <w:abstractNumId w:val="22"/>
  </w:num>
  <w:num w:numId="15">
    <w:abstractNumId w:val="22"/>
  </w:num>
  <w:num w:numId="16">
    <w:abstractNumId w:val="12"/>
  </w:num>
  <w:num w:numId="17">
    <w:abstractNumId w:val="12"/>
  </w:num>
  <w:num w:numId="18">
    <w:abstractNumId w:val="26"/>
  </w:num>
  <w:num w:numId="19">
    <w:abstractNumId w:val="25"/>
  </w:num>
  <w:num w:numId="20">
    <w:abstractNumId w:val="21"/>
  </w:num>
  <w:num w:numId="21">
    <w:abstractNumId w:val="17"/>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740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2A"/>
    <w:rsid w:val="000021DC"/>
    <w:rsid w:val="0000737B"/>
    <w:rsid w:val="000114D3"/>
    <w:rsid w:val="00022E84"/>
    <w:rsid w:val="00027CBE"/>
    <w:rsid w:val="000419DC"/>
    <w:rsid w:val="00046C8E"/>
    <w:rsid w:val="0006675C"/>
    <w:rsid w:val="00081305"/>
    <w:rsid w:val="000848E7"/>
    <w:rsid w:val="000A42AA"/>
    <w:rsid w:val="000B0DDC"/>
    <w:rsid w:val="001028D9"/>
    <w:rsid w:val="00103D8F"/>
    <w:rsid w:val="00106076"/>
    <w:rsid w:val="001123B6"/>
    <w:rsid w:val="0012514F"/>
    <w:rsid w:val="00127C79"/>
    <w:rsid w:val="001426F7"/>
    <w:rsid w:val="00145D06"/>
    <w:rsid w:val="001A6205"/>
    <w:rsid w:val="001B2B88"/>
    <w:rsid w:val="001B705C"/>
    <w:rsid w:val="001C3E5C"/>
    <w:rsid w:val="001C509D"/>
    <w:rsid w:val="001D28F7"/>
    <w:rsid w:val="001E0C92"/>
    <w:rsid w:val="001F47CC"/>
    <w:rsid w:val="002073B7"/>
    <w:rsid w:val="002517FD"/>
    <w:rsid w:val="0025285E"/>
    <w:rsid w:val="00253554"/>
    <w:rsid w:val="00257177"/>
    <w:rsid w:val="00263542"/>
    <w:rsid w:val="002748DF"/>
    <w:rsid w:val="002A6FDC"/>
    <w:rsid w:val="002C0F7B"/>
    <w:rsid w:val="002C403D"/>
    <w:rsid w:val="002E0DEB"/>
    <w:rsid w:val="002E4302"/>
    <w:rsid w:val="002F00B3"/>
    <w:rsid w:val="002F4952"/>
    <w:rsid w:val="00326312"/>
    <w:rsid w:val="00327698"/>
    <w:rsid w:val="0035149B"/>
    <w:rsid w:val="003552CC"/>
    <w:rsid w:val="00355C7F"/>
    <w:rsid w:val="00361C5D"/>
    <w:rsid w:val="003806CB"/>
    <w:rsid w:val="003A36E9"/>
    <w:rsid w:val="003A44A5"/>
    <w:rsid w:val="003D3E99"/>
    <w:rsid w:val="003E2CD4"/>
    <w:rsid w:val="00402A1B"/>
    <w:rsid w:val="00416F28"/>
    <w:rsid w:val="00424038"/>
    <w:rsid w:val="00426780"/>
    <w:rsid w:val="00445857"/>
    <w:rsid w:val="00447AF0"/>
    <w:rsid w:val="0045228F"/>
    <w:rsid w:val="00454471"/>
    <w:rsid w:val="0045726B"/>
    <w:rsid w:val="0047055A"/>
    <w:rsid w:val="00480ABD"/>
    <w:rsid w:val="004818FE"/>
    <w:rsid w:val="00492429"/>
    <w:rsid w:val="00494F0B"/>
    <w:rsid w:val="004C5609"/>
    <w:rsid w:val="004E07A5"/>
    <w:rsid w:val="004E3711"/>
    <w:rsid w:val="00500903"/>
    <w:rsid w:val="00500C2B"/>
    <w:rsid w:val="005025B4"/>
    <w:rsid w:val="00520D3B"/>
    <w:rsid w:val="005333C9"/>
    <w:rsid w:val="005575B0"/>
    <w:rsid w:val="00566BA4"/>
    <w:rsid w:val="00573601"/>
    <w:rsid w:val="00574488"/>
    <w:rsid w:val="00576C66"/>
    <w:rsid w:val="00580D5F"/>
    <w:rsid w:val="00586E12"/>
    <w:rsid w:val="00587F43"/>
    <w:rsid w:val="005A4489"/>
    <w:rsid w:val="005A746C"/>
    <w:rsid w:val="005C301C"/>
    <w:rsid w:val="005C41DA"/>
    <w:rsid w:val="005F32A5"/>
    <w:rsid w:val="005F41CD"/>
    <w:rsid w:val="00605DD3"/>
    <w:rsid w:val="00606550"/>
    <w:rsid w:val="00607EE7"/>
    <w:rsid w:val="00614120"/>
    <w:rsid w:val="00614636"/>
    <w:rsid w:val="00640260"/>
    <w:rsid w:val="00643351"/>
    <w:rsid w:val="00650B18"/>
    <w:rsid w:val="0066119D"/>
    <w:rsid w:val="00667DCD"/>
    <w:rsid w:val="00670180"/>
    <w:rsid w:val="00694C31"/>
    <w:rsid w:val="006A5AED"/>
    <w:rsid w:val="006A66F3"/>
    <w:rsid w:val="006B7CF1"/>
    <w:rsid w:val="006C59BE"/>
    <w:rsid w:val="006D6731"/>
    <w:rsid w:val="006D70A3"/>
    <w:rsid w:val="00700CD4"/>
    <w:rsid w:val="00724CA7"/>
    <w:rsid w:val="00734EDE"/>
    <w:rsid w:val="007633C2"/>
    <w:rsid w:val="0078194F"/>
    <w:rsid w:val="00782E76"/>
    <w:rsid w:val="0078695C"/>
    <w:rsid w:val="00787783"/>
    <w:rsid w:val="007D0942"/>
    <w:rsid w:val="007E61DB"/>
    <w:rsid w:val="007E6D22"/>
    <w:rsid w:val="008051E9"/>
    <w:rsid w:val="00811503"/>
    <w:rsid w:val="0081723D"/>
    <w:rsid w:val="0082025A"/>
    <w:rsid w:val="0082184B"/>
    <w:rsid w:val="00836B02"/>
    <w:rsid w:val="00846E9C"/>
    <w:rsid w:val="008772F8"/>
    <w:rsid w:val="008A25EE"/>
    <w:rsid w:val="008B1F06"/>
    <w:rsid w:val="008D764D"/>
    <w:rsid w:val="008E0DCC"/>
    <w:rsid w:val="008F52AA"/>
    <w:rsid w:val="008F6547"/>
    <w:rsid w:val="009000D6"/>
    <w:rsid w:val="00910F0B"/>
    <w:rsid w:val="00913C74"/>
    <w:rsid w:val="00962412"/>
    <w:rsid w:val="00964CF7"/>
    <w:rsid w:val="0097166A"/>
    <w:rsid w:val="009769C9"/>
    <w:rsid w:val="00977405"/>
    <w:rsid w:val="009A312C"/>
    <w:rsid w:val="009A3215"/>
    <w:rsid w:val="009A33B4"/>
    <w:rsid w:val="009C14BE"/>
    <w:rsid w:val="00A00872"/>
    <w:rsid w:val="00A149F1"/>
    <w:rsid w:val="00A5084B"/>
    <w:rsid w:val="00A75824"/>
    <w:rsid w:val="00A770C4"/>
    <w:rsid w:val="00A90C84"/>
    <w:rsid w:val="00AA4939"/>
    <w:rsid w:val="00AB4B05"/>
    <w:rsid w:val="00AC404B"/>
    <w:rsid w:val="00AC56D5"/>
    <w:rsid w:val="00AC7F2D"/>
    <w:rsid w:val="00AD584D"/>
    <w:rsid w:val="00AE4AF0"/>
    <w:rsid w:val="00B003C3"/>
    <w:rsid w:val="00B14EF0"/>
    <w:rsid w:val="00B2106E"/>
    <w:rsid w:val="00B23C01"/>
    <w:rsid w:val="00B2649D"/>
    <w:rsid w:val="00B3372A"/>
    <w:rsid w:val="00B40909"/>
    <w:rsid w:val="00B434E5"/>
    <w:rsid w:val="00B61D2B"/>
    <w:rsid w:val="00B96ADB"/>
    <w:rsid w:val="00BA46D0"/>
    <w:rsid w:val="00BA5E42"/>
    <w:rsid w:val="00BA657D"/>
    <w:rsid w:val="00BD52C9"/>
    <w:rsid w:val="00BE0FEF"/>
    <w:rsid w:val="00C03396"/>
    <w:rsid w:val="00C101BF"/>
    <w:rsid w:val="00C246AC"/>
    <w:rsid w:val="00C26124"/>
    <w:rsid w:val="00C2678D"/>
    <w:rsid w:val="00C30192"/>
    <w:rsid w:val="00C7412C"/>
    <w:rsid w:val="00C764C5"/>
    <w:rsid w:val="00C96E57"/>
    <w:rsid w:val="00CD54C7"/>
    <w:rsid w:val="00CE1E7F"/>
    <w:rsid w:val="00CF64C4"/>
    <w:rsid w:val="00D05C74"/>
    <w:rsid w:val="00D145C7"/>
    <w:rsid w:val="00D30F6A"/>
    <w:rsid w:val="00D446D9"/>
    <w:rsid w:val="00D550D5"/>
    <w:rsid w:val="00D6072E"/>
    <w:rsid w:val="00D845FF"/>
    <w:rsid w:val="00DA276D"/>
    <w:rsid w:val="00DB6C0D"/>
    <w:rsid w:val="00DC2EA6"/>
    <w:rsid w:val="00DC7E08"/>
    <w:rsid w:val="00DD5025"/>
    <w:rsid w:val="00DE2F64"/>
    <w:rsid w:val="00DE420C"/>
    <w:rsid w:val="00DF6429"/>
    <w:rsid w:val="00E02FAA"/>
    <w:rsid w:val="00E1197E"/>
    <w:rsid w:val="00E27C1A"/>
    <w:rsid w:val="00E322E9"/>
    <w:rsid w:val="00E50214"/>
    <w:rsid w:val="00E578EB"/>
    <w:rsid w:val="00E6087B"/>
    <w:rsid w:val="00E85EBB"/>
    <w:rsid w:val="00E97560"/>
    <w:rsid w:val="00EA10EB"/>
    <w:rsid w:val="00EB3854"/>
    <w:rsid w:val="00EC2938"/>
    <w:rsid w:val="00EC7AED"/>
    <w:rsid w:val="00EE1205"/>
    <w:rsid w:val="00F133C2"/>
    <w:rsid w:val="00F21669"/>
    <w:rsid w:val="00F24EED"/>
    <w:rsid w:val="00F32C49"/>
    <w:rsid w:val="00F46B79"/>
    <w:rsid w:val="00F76423"/>
    <w:rsid w:val="00F92CF7"/>
    <w:rsid w:val="00FA0151"/>
    <w:rsid w:val="00FB37F2"/>
    <w:rsid w:val="00FC0982"/>
    <w:rsid w:val="00FC1057"/>
    <w:rsid w:val="00FD49AF"/>
    <w:rsid w:val="00FE5FC4"/>
    <w:rsid w:val="00FF3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CBF9D868-2FAA-4ECB-99A0-877E6C50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4C5"/>
    <w:pPr>
      <w:keepNext/>
      <w:jc w:val="both"/>
    </w:pPr>
    <w:rPr>
      <w:rFonts w:ascii="Arial" w:hAnsi="Arial"/>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Zchn">
    <w:name w:val="Fußnote Zchn"/>
    <w:link w:val="Funote"/>
    <w:rsid w:val="00DF6429"/>
    <w:rPr>
      <w:rFonts w:ascii="Arial" w:hAnsi="Arial"/>
      <w:b/>
      <w:sz w:val="16"/>
      <w:szCs w:val="16"/>
      <w:lang w:val="de-DE" w:eastAsia="de-DE" w:bidi="ar-SA"/>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link w:val="FunoteZchn"/>
    <w:rsid w:val="00DF6429"/>
    <w:pPr>
      <w:keepNext w:val="0"/>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BD52C9"/>
    <w:rPr>
      <w:sz w:val="16"/>
    </w:rPr>
  </w:style>
  <w:style w:type="character" w:styleId="Funotenzeichen">
    <w:name w:val="footnote reference"/>
    <w:rsid w:val="00587F43"/>
    <w:rPr>
      <w:rFonts w:ascii="Arial" w:hAnsi="Arial"/>
      <w:vertAlign w:val="superscript"/>
    </w:rPr>
  </w:style>
  <w:style w:type="character" w:styleId="Seitenzahl">
    <w:name w:val="page number"/>
    <w:rsid w:val="007E61DB"/>
    <w:rPr>
      <w:rFonts w:ascii="Arial" w:hAnsi="Arial"/>
      <w:sz w:val="16"/>
    </w:rPr>
  </w:style>
  <w:style w:type="character" w:customStyle="1" w:styleId="TextZchn">
    <w:name w:val="Text Zchn"/>
    <w:link w:val="Text"/>
    <w:rsid w:val="00694C31"/>
    <w:rPr>
      <w:rFonts w:ascii="Arial" w:hAnsi="Arial"/>
      <w:lang w:val="de-DE" w:eastAsia="de-DE" w:bidi="ar-SA"/>
    </w:rPr>
  </w:style>
  <w:style w:type="paragraph" w:styleId="Sprechblasentext">
    <w:name w:val="Balloon Text"/>
    <w:basedOn w:val="Standard"/>
    <w:semiHidden/>
    <w:rsid w:val="007E61DB"/>
    <w:pPr>
      <w:keepNext w:val="0"/>
      <w:jc w:val="left"/>
    </w:pPr>
    <w:rPr>
      <w:rFonts w:ascii="Tahoma" w:hAnsi="Tahoma" w:cs="Tahoma"/>
      <w:sz w:val="16"/>
      <w:szCs w:val="16"/>
    </w:rPr>
  </w:style>
  <w:style w:type="paragraph" w:customStyle="1" w:styleId="K-KasteninTabelle">
    <w:name w:val="K-Kasten in Tabelle"/>
    <w:basedOn w:val="Standard"/>
    <w:rsid w:val="00402A1B"/>
    <w:pPr>
      <w:keepNext w:val="0"/>
      <w:tabs>
        <w:tab w:val="left" w:pos="284"/>
      </w:tabs>
      <w:ind w:left="284" w:hanging="284"/>
      <w:jc w:val="left"/>
    </w:pPr>
    <w:rPr>
      <w:szCs w:val="24"/>
    </w:rPr>
  </w:style>
  <w:style w:type="paragraph" w:customStyle="1" w:styleId="Oben">
    <w:name w:val="Oben"/>
    <w:basedOn w:val="FB-Bezeichnung"/>
    <w:next w:val="Standard"/>
    <w:rsid w:val="00BE0FEF"/>
  </w:style>
  <w:style w:type="paragraph" w:styleId="Endnotentext">
    <w:name w:val="endnote text"/>
    <w:basedOn w:val="Standard"/>
    <w:link w:val="EndnotentextZchn"/>
    <w:rsid w:val="009A312C"/>
  </w:style>
  <w:style w:type="character" w:customStyle="1" w:styleId="EndnotentextZchn">
    <w:name w:val="Endnotentext Zchn"/>
    <w:link w:val="Endnotentext"/>
    <w:rsid w:val="009A312C"/>
    <w:rPr>
      <w:rFonts w:ascii="Arial" w:hAnsi="Arial"/>
    </w:rPr>
  </w:style>
  <w:style w:type="character" w:styleId="Endnotenzeichen">
    <w:name w:val="endnote reference"/>
    <w:rsid w:val="009A312C"/>
    <w:rPr>
      <w:vertAlign w:val="superscript"/>
    </w:rPr>
  </w:style>
  <w:style w:type="character" w:styleId="Platzhaltertext">
    <w:name w:val="Placeholder Text"/>
    <w:basedOn w:val="Absatz-Standardschriftart"/>
    <w:uiPriority w:val="99"/>
    <w:semiHidden/>
    <w:rsid w:val="00027CBE"/>
    <w:rPr>
      <w:color w:val="808080"/>
    </w:rPr>
  </w:style>
  <w:style w:type="paragraph" w:customStyle="1" w:styleId="FB-Bezeichnung">
    <w:name w:val="FB-Bezeichnung"/>
    <w:basedOn w:val="Standard"/>
    <w:qFormat/>
    <w:rsid w:val="003806CB"/>
    <w:pPr>
      <w:spacing w:before="240" w:after="240"/>
    </w:pPr>
    <w:rPr>
      <w:b/>
      <w:bCs/>
    </w:rPr>
  </w:style>
  <w:style w:type="paragraph" w:customStyle="1" w:styleId="LegendezurFormel">
    <w:name w:val="Legende zur Formel"/>
    <w:basedOn w:val="Standard"/>
    <w:qFormat/>
    <w:rsid w:val="003806CB"/>
    <w:pPr>
      <w:tabs>
        <w:tab w:val="left" w:pos="567"/>
      </w:tabs>
      <w:spacing w:before="120" w:after="120"/>
      <w:ind w:left="567" w:hanging="567"/>
      <w:contextualSpacing/>
    </w:pPr>
  </w:style>
  <w:style w:type="paragraph" w:customStyle="1" w:styleId="Tarifvertrag">
    <w:name w:val="Tarifvertrag"/>
    <w:basedOn w:val="Standard"/>
    <w:qFormat/>
    <w:rsid w:val="006D6731"/>
    <w:pPr>
      <w:tabs>
        <w:tab w:val="right" w:leader="dot" w:pos="9639"/>
      </w:tabs>
      <w:spacing w:before="120" w:after="120"/>
    </w:pPr>
  </w:style>
  <w:style w:type="paragraph" w:styleId="Listenabsatz">
    <w:name w:val="List Paragraph"/>
    <w:basedOn w:val="Standard"/>
    <w:uiPriority w:val="34"/>
    <w:qFormat/>
    <w:rsid w:val="00445857"/>
    <w:pPr>
      <w:spacing w:before="120" w:after="120"/>
      <w:ind w:left="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78886">
      <w:bodyDiv w:val="1"/>
      <w:marLeft w:val="0"/>
      <w:marRight w:val="0"/>
      <w:marTop w:val="0"/>
      <w:marBottom w:val="0"/>
      <w:divBdr>
        <w:top w:val="none" w:sz="0" w:space="0" w:color="auto"/>
        <w:left w:val="none" w:sz="0" w:space="0" w:color="auto"/>
        <w:bottom w:val="none" w:sz="0" w:space="0" w:color="auto"/>
        <w:right w:val="none" w:sz="0" w:space="0" w:color="auto"/>
      </w:divBdr>
    </w:div>
    <w:div w:id="197494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D.Fenner\Anwendungsdaten\Microsoft\Vorlagen\FeT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6F6F-3E18-4B40-A5D1-4408ADF0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FeTab.dot</Template>
  <TotalTime>0</TotalTime>
  <Pages>1</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Angebot Lohngleitklausel</vt:lpstr>
    </vt:vector>
  </TitlesOfParts>
  <Company>BBR</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 Lohngleitklausel</dc:title>
  <dc:subject>Lohngleitklausel</dc:subject>
  <dc:creator>D.Fenner</dc:creator>
  <cp:lastModifiedBy>Duckwitz Nadejda (BLB Z)</cp:lastModifiedBy>
  <cp:revision>6</cp:revision>
  <cp:lastPrinted>2010-03-03T16:06:00Z</cp:lastPrinted>
  <dcterms:created xsi:type="dcterms:W3CDTF">2019-05-28T08:06:00Z</dcterms:created>
  <dcterms:modified xsi:type="dcterms:W3CDTF">2020-03-12T12:50:00Z</dcterms:modified>
</cp:coreProperties>
</file>